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621771576"/>
        <w:docPartObj>
          <w:docPartGallery w:val="Cover Pages"/>
          <w:docPartUnique/>
        </w:docPartObj>
      </w:sdtPr>
      <w:sdtEndPr>
        <w:rPr>
          <w:rFonts w:ascii="Arial" w:hAnsi="Arial" w:cs="Arial"/>
          <w:b/>
          <w:sz w:val="24"/>
        </w:rPr>
      </w:sdtEndPr>
      <w:sdtContent>
        <w:p w:rsidR="00280C2E" w:rsidRDefault="00280C2E"/>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785"/>
          </w:tblGrid>
          <w:tr w:rsidR="00280C2E" w:rsidTr="00E20D1B">
            <w:tc>
              <w:tcPr>
                <w:tcW w:w="7785" w:type="dxa"/>
                <w:tcMar>
                  <w:top w:w="216" w:type="dxa"/>
                  <w:left w:w="115" w:type="dxa"/>
                  <w:bottom w:w="216" w:type="dxa"/>
                  <w:right w:w="115" w:type="dxa"/>
                </w:tcMar>
              </w:tcPr>
              <w:p w:rsidR="00280C2E" w:rsidRDefault="00280C2E" w:rsidP="00280C2E">
                <w:pPr>
                  <w:pStyle w:val="NoSpacing"/>
                  <w:rPr>
                    <w:color w:val="2E74B5" w:themeColor="accent1" w:themeShade="BF"/>
                    <w:sz w:val="24"/>
                  </w:rPr>
                </w:pPr>
              </w:p>
            </w:tc>
          </w:tr>
          <w:tr w:rsidR="00280C2E" w:rsidTr="00E20D1B">
            <w:tc>
              <w:tcPr>
                <w:tcW w:w="7785" w:type="dxa"/>
              </w:tcPr>
              <w:bookmarkStart w:id="0" w:name="_GoBack" w:colFirst="0" w:colLast="0" w:displacedByCustomXml="next"/>
              <w:sdt>
                <w:sdtPr>
                  <w:rPr>
                    <w:rFonts w:asciiTheme="majorHAnsi" w:eastAsiaTheme="majorEastAsia" w:hAnsiTheme="majorHAnsi" w:cstheme="majorBidi"/>
                    <w:b/>
                    <w:color w:val="C00000"/>
                    <w:sz w:val="88"/>
                    <w:szCs w:val="88"/>
                  </w:rPr>
                  <w:alias w:val="Title"/>
                  <w:id w:val="13406919"/>
                  <w:placeholder>
                    <w:docPart w:val="D180AEAFAF2240929D94517FDDB2B0D4"/>
                  </w:placeholder>
                  <w:dataBinding w:prefixMappings="xmlns:ns0='http://schemas.openxmlformats.org/package/2006/metadata/core-properties' xmlns:ns1='http://purl.org/dc/elements/1.1/'" w:xpath="/ns0:coreProperties[1]/ns1:title[1]" w:storeItemID="{6C3C8BC8-F283-45AE-878A-BAB7291924A1}"/>
                  <w:text/>
                </w:sdtPr>
                <w:sdtEndPr/>
                <w:sdtContent>
                  <w:p w:rsidR="00280C2E" w:rsidRDefault="00280C2E" w:rsidP="00280C2E">
                    <w:pPr>
                      <w:pStyle w:val="NoSpacing"/>
                      <w:spacing w:line="216" w:lineRule="auto"/>
                      <w:rPr>
                        <w:rFonts w:asciiTheme="majorHAnsi" w:eastAsiaTheme="majorEastAsia" w:hAnsiTheme="majorHAnsi" w:cstheme="majorBidi"/>
                        <w:color w:val="5B9BD5" w:themeColor="accent1"/>
                        <w:sz w:val="88"/>
                        <w:szCs w:val="88"/>
                      </w:rPr>
                    </w:pPr>
                    <w:r w:rsidRPr="00280C2E">
                      <w:rPr>
                        <w:rFonts w:asciiTheme="majorHAnsi" w:eastAsiaTheme="majorEastAsia" w:hAnsiTheme="majorHAnsi" w:cstheme="majorBidi"/>
                        <w:b/>
                        <w:color w:val="C00000"/>
                        <w:sz w:val="88"/>
                        <w:szCs w:val="88"/>
                      </w:rPr>
                      <w:t>Knowsley                       Joint SEN</w:t>
                    </w:r>
                    <w:r w:rsidR="0078765A">
                      <w:rPr>
                        <w:rFonts w:asciiTheme="majorHAnsi" w:eastAsiaTheme="majorEastAsia" w:hAnsiTheme="majorHAnsi" w:cstheme="majorBidi"/>
                        <w:b/>
                        <w:color w:val="C00000"/>
                        <w:sz w:val="88"/>
                        <w:szCs w:val="88"/>
                      </w:rPr>
                      <w:t>D</w:t>
                    </w:r>
                    <w:r w:rsidRPr="00280C2E">
                      <w:rPr>
                        <w:rFonts w:asciiTheme="majorHAnsi" w:eastAsiaTheme="majorEastAsia" w:hAnsiTheme="majorHAnsi" w:cstheme="majorBidi"/>
                        <w:b/>
                        <w:color w:val="C00000"/>
                        <w:sz w:val="88"/>
                        <w:szCs w:val="88"/>
                      </w:rPr>
                      <w:t xml:space="preserve"> Policy</w:t>
                    </w:r>
                  </w:p>
                </w:sdtContent>
              </w:sdt>
            </w:tc>
          </w:tr>
          <w:tr w:rsidR="00280C2E" w:rsidTr="00E20D1B">
            <w:sdt>
              <w:sdtPr>
                <w:rPr>
                  <w:b/>
                  <w:color w:val="C00000"/>
                  <w:sz w:val="56"/>
                  <w:szCs w:val="24"/>
                </w:rPr>
                <w:alias w:val="Subtitle"/>
                <w:id w:val="13406923"/>
                <w:placeholder>
                  <w:docPart w:val="8ED020C26F5848858F6931CBA6700CA5"/>
                </w:placeholder>
                <w:dataBinding w:prefixMappings="xmlns:ns0='http://schemas.openxmlformats.org/package/2006/metadata/core-properties' xmlns:ns1='http://purl.org/dc/elements/1.1/'" w:xpath="/ns0:coreProperties[1]/ns1:subject[1]" w:storeItemID="{6C3C8BC8-F283-45AE-878A-BAB7291924A1}"/>
                <w:text/>
              </w:sdtPr>
              <w:sdtEndPr/>
              <w:sdtContent>
                <w:tc>
                  <w:tcPr>
                    <w:tcW w:w="7785" w:type="dxa"/>
                    <w:tcMar>
                      <w:top w:w="216" w:type="dxa"/>
                      <w:left w:w="115" w:type="dxa"/>
                      <w:bottom w:w="216" w:type="dxa"/>
                      <w:right w:w="115" w:type="dxa"/>
                    </w:tcMar>
                  </w:tcPr>
                  <w:p w:rsidR="00280C2E" w:rsidRDefault="00280C2E" w:rsidP="00280C2E">
                    <w:pPr>
                      <w:pStyle w:val="NoSpacing"/>
                      <w:rPr>
                        <w:color w:val="2E74B5" w:themeColor="accent1" w:themeShade="BF"/>
                        <w:sz w:val="24"/>
                      </w:rPr>
                    </w:pPr>
                    <w:r w:rsidRPr="00280C2E">
                      <w:rPr>
                        <w:b/>
                        <w:color w:val="C00000"/>
                        <w:sz w:val="56"/>
                        <w:szCs w:val="24"/>
                      </w:rPr>
                      <w:t>2018-2021</w:t>
                    </w:r>
                  </w:p>
                </w:tc>
              </w:sdtContent>
            </w:sdt>
          </w:tr>
          <w:bookmarkEnd w:id="0"/>
        </w:tbl>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280C2E" w:rsidRDefault="00280C2E">
          <w:pPr>
            <w:rPr>
              <w:rFonts w:ascii="Arial" w:hAnsi="Arial" w:cs="Arial"/>
              <w:b/>
              <w:sz w:val="24"/>
            </w:rPr>
          </w:pPr>
        </w:p>
        <w:p w:rsidR="00E20D1B" w:rsidRDefault="00E20D1B">
          <w:pPr>
            <w:rPr>
              <w:rFonts w:ascii="Arial" w:hAnsi="Arial" w:cs="Arial"/>
              <w:b/>
              <w:sz w:val="24"/>
            </w:rPr>
          </w:pPr>
        </w:p>
        <w:p w:rsidR="00E20D1B" w:rsidRDefault="00E20D1B">
          <w:pPr>
            <w:rPr>
              <w:rFonts w:ascii="Arial" w:hAnsi="Arial" w:cs="Arial"/>
              <w:b/>
              <w:sz w:val="24"/>
            </w:rPr>
          </w:pPr>
        </w:p>
        <w:p w:rsidR="00E20D1B" w:rsidRDefault="00E20D1B">
          <w:pPr>
            <w:rPr>
              <w:rFonts w:ascii="Arial" w:hAnsi="Arial" w:cs="Arial"/>
              <w:b/>
              <w:sz w:val="24"/>
            </w:rPr>
          </w:pPr>
        </w:p>
        <w:p w:rsidR="00E20D1B" w:rsidRDefault="00E20D1B">
          <w:pPr>
            <w:rPr>
              <w:rFonts w:ascii="Arial" w:hAnsi="Arial" w:cs="Arial"/>
              <w:b/>
              <w:sz w:val="24"/>
            </w:rPr>
          </w:pPr>
        </w:p>
        <w:p w:rsidR="00E20D1B" w:rsidRDefault="00E20D1B" w:rsidP="00E20D1B">
          <w:pPr>
            <w:jc w:val="center"/>
            <w:rPr>
              <w:rFonts w:ascii="Arial" w:hAnsi="Arial" w:cs="Arial"/>
              <w:b/>
              <w:sz w:val="24"/>
            </w:rPr>
          </w:pPr>
        </w:p>
        <w:p w:rsidR="00280C2E" w:rsidRDefault="00280C2E" w:rsidP="00E20D1B">
          <w:pPr>
            <w:jc w:val="center"/>
            <w:rPr>
              <w:rFonts w:ascii="Arial" w:hAnsi="Arial" w:cs="Arial"/>
              <w:b/>
              <w:sz w:val="24"/>
            </w:rPr>
          </w:pPr>
          <w:r>
            <w:rPr>
              <w:noProof/>
              <w:lang w:eastAsia="en-GB"/>
            </w:rPr>
            <w:drawing>
              <wp:inline distT="0" distB="0" distL="0" distR="0" wp14:anchorId="18834014" wp14:editId="7E3E0518">
                <wp:extent cx="5274310" cy="599539"/>
                <wp:effectExtent l="0" t="0" r="2540" b="0"/>
                <wp:docPr id="4" name="Picture 4" descr="C:\Users\grimesjan\AppData\Local\Microsoft\Windows\Temporary Internet Files\Content.Word\LOGO 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mesjan\AppData\Local\Microsoft\Windows\Temporary Internet Files\Content.Word\LOGO STRI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74310" cy="599539"/>
                        </a:xfrm>
                        <a:prstGeom prst="rect">
                          <a:avLst/>
                        </a:prstGeom>
                        <a:noFill/>
                        <a:ln>
                          <a:noFill/>
                        </a:ln>
                      </pic:spPr>
                    </pic:pic>
                  </a:graphicData>
                </a:graphic>
              </wp:inline>
            </w:drawing>
          </w:r>
          <w:r>
            <w:rPr>
              <w:rFonts w:ascii="Arial" w:hAnsi="Arial" w:cs="Arial"/>
              <w:b/>
              <w:sz w:val="24"/>
            </w:rPr>
            <w:br w:type="page"/>
          </w:r>
        </w:p>
        <w:p w:rsidR="00280C2E" w:rsidRDefault="00547435">
          <w:pPr>
            <w:rPr>
              <w:rFonts w:ascii="Arial" w:hAnsi="Arial" w:cs="Arial"/>
              <w:b/>
              <w:sz w:val="24"/>
            </w:rPr>
          </w:pPr>
        </w:p>
      </w:sdtContent>
    </w:sdt>
    <w:p w:rsidR="00E823E8" w:rsidRPr="00E10865" w:rsidRDefault="008C2ABA" w:rsidP="0067251A">
      <w:pPr>
        <w:pBdr>
          <w:top w:val="single" w:sz="4" w:space="1" w:color="auto"/>
          <w:left w:val="single" w:sz="4" w:space="4" w:color="auto"/>
          <w:bottom w:val="single" w:sz="4" w:space="1" w:color="auto"/>
          <w:right w:val="single" w:sz="4" w:space="4" w:color="auto"/>
        </w:pBdr>
        <w:spacing w:line="276" w:lineRule="auto"/>
        <w:rPr>
          <w:rFonts w:ascii="Arial" w:hAnsi="Arial" w:cs="Arial"/>
          <w:b/>
          <w:sz w:val="24"/>
        </w:rPr>
      </w:pPr>
      <w:r w:rsidRPr="00E10865">
        <w:rPr>
          <w:rFonts w:ascii="Arial" w:hAnsi="Arial" w:cs="Arial"/>
          <w:b/>
          <w:sz w:val="24"/>
        </w:rPr>
        <w:t>Legislative Framework</w:t>
      </w:r>
    </w:p>
    <w:p w:rsidR="008C2ABA" w:rsidRDefault="008C2ABA" w:rsidP="00411D06">
      <w:pPr>
        <w:spacing w:line="276" w:lineRule="auto"/>
        <w:rPr>
          <w:rFonts w:ascii="Arial" w:hAnsi="Arial" w:cs="Arial"/>
          <w:sz w:val="24"/>
        </w:rPr>
      </w:pPr>
      <w:r>
        <w:rPr>
          <w:rFonts w:ascii="Arial" w:hAnsi="Arial" w:cs="Arial"/>
          <w:sz w:val="24"/>
        </w:rPr>
        <w:t>This policy sets out the intentions of the local area partners in relation to how we will fulfil our statutory responsibilities; sets out our shared principles and vision; establishes the links to our strategies and plans.</w:t>
      </w:r>
    </w:p>
    <w:p w:rsidR="008C2ABA" w:rsidRDefault="008C2ABA" w:rsidP="00411D06">
      <w:pPr>
        <w:spacing w:line="276" w:lineRule="auto"/>
        <w:rPr>
          <w:rFonts w:ascii="Arial" w:hAnsi="Arial" w:cs="Arial"/>
          <w:sz w:val="24"/>
        </w:rPr>
      </w:pPr>
      <w:r>
        <w:rPr>
          <w:rFonts w:ascii="Arial" w:hAnsi="Arial" w:cs="Arial"/>
          <w:sz w:val="24"/>
        </w:rPr>
        <w:t xml:space="preserve">These </w:t>
      </w:r>
      <w:r w:rsidR="00E10865">
        <w:rPr>
          <w:rFonts w:ascii="Arial" w:hAnsi="Arial" w:cs="Arial"/>
          <w:sz w:val="24"/>
        </w:rPr>
        <w:t xml:space="preserve">statutory responsibilities </w:t>
      </w:r>
      <w:r>
        <w:rPr>
          <w:rFonts w:ascii="Arial" w:hAnsi="Arial" w:cs="Arial"/>
          <w:sz w:val="24"/>
        </w:rPr>
        <w:t>are based on the relevant and current legislative framework:</w:t>
      </w:r>
    </w:p>
    <w:p w:rsidR="008734D7" w:rsidRDefault="008734D7" w:rsidP="00411D06">
      <w:pPr>
        <w:spacing w:line="276" w:lineRule="auto"/>
        <w:rPr>
          <w:rFonts w:ascii="Arial" w:hAnsi="Arial" w:cs="Arial"/>
          <w:sz w:val="24"/>
        </w:rPr>
      </w:pPr>
      <w:r>
        <w:rPr>
          <w:rFonts w:ascii="Arial" w:hAnsi="Arial" w:cs="Arial"/>
          <w:sz w:val="24"/>
        </w:rPr>
        <w:t>Children Act 1989</w:t>
      </w:r>
    </w:p>
    <w:p w:rsidR="008C2ABA" w:rsidRDefault="00E10865" w:rsidP="00411D06">
      <w:pPr>
        <w:spacing w:line="276" w:lineRule="auto"/>
        <w:rPr>
          <w:rFonts w:ascii="Arial" w:hAnsi="Arial" w:cs="Arial"/>
          <w:sz w:val="24"/>
        </w:rPr>
      </w:pPr>
      <w:r>
        <w:rPr>
          <w:rFonts w:ascii="Arial" w:hAnsi="Arial" w:cs="Arial"/>
          <w:sz w:val="24"/>
        </w:rPr>
        <w:t>Mental Capacity Act 2005</w:t>
      </w:r>
    </w:p>
    <w:p w:rsidR="008734D7" w:rsidRDefault="008734D7" w:rsidP="00411D06">
      <w:pPr>
        <w:spacing w:line="276" w:lineRule="auto"/>
        <w:rPr>
          <w:rFonts w:ascii="Arial" w:hAnsi="Arial" w:cs="Arial"/>
          <w:sz w:val="24"/>
        </w:rPr>
      </w:pPr>
      <w:r>
        <w:rPr>
          <w:rFonts w:ascii="Arial" w:hAnsi="Arial" w:cs="Arial"/>
          <w:sz w:val="24"/>
        </w:rPr>
        <w:t>Mental Health Act 2007</w:t>
      </w:r>
    </w:p>
    <w:p w:rsidR="008C2ABA" w:rsidRDefault="008C2ABA" w:rsidP="00411D06">
      <w:pPr>
        <w:spacing w:line="276" w:lineRule="auto"/>
        <w:rPr>
          <w:rFonts w:ascii="Arial" w:hAnsi="Arial" w:cs="Arial"/>
          <w:sz w:val="24"/>
        </w:rPr>
      </w:pPr>
      <w:r>
        <w:rPr>
          <w:rFonts w:ascii="Arial" w:hAnsi="Arial" w:cs="Arial"/>
          <w:sz w:val="24"/>
        </w:rPr>
        <w:t>Equality Act 2010</w:t>
      </w:r>
    </w:p>
    <w:p w:rsidR="008C2ABA" w:rsidRDefault="008C2ABA" w:rsidP="00411D06">
      <w:pPr>
        <w:spacing w:line="276" w:lineRule="auto"/>
        <w:rPr>
          <w:rFonts w:ascii="Arial" w:hAnsi="Arial" w:cs="Arial"/>
          <w:sz w:val="24"/>
        </w:rPr>
      </w:pPr>
      <w:r>
        <w:rPr>
          <w:rFonts w:ascii="Arial" w:hAnsi="Arial" w:cs="Arial"/>
          <w:sz w:val="24"/>
        </w:rPr>
        <w:t>Children and Families Act 2014</w:t>
      </w:r>
    </w:p>
    <w:p w:rsidR="008C2ABA" w:rsidRDefault="008C2ABA" w:rsidP="00411D06">
      <w:pPr>
        <w:spacing w:line="276" w:lineRule="auto"/>
        <w:rPr>
          <w:rFonts w:ascii="Arial" w:hAnsi="Arial" w:cs="Arial"/>
          <w:sz w:val="24"/>
        </w:rPr>
      </w:pPr>
      <w:r>
        <w:rPr>
          <w:rFonts w:ascii="Arial" w:hAnsi="Arial" w:cs="Arial"/>
          <w:sz w:val="24"/>
        </w:rPr>
        <w:t>Care Act 2014</w:t>
      </w:r>
    </w:p>
    <w:p w:rsidR="008C2ABA" w:rsidRDefault="008C2ABA" w:rsidP="00411D06">
      <w:pPr>
        <w:spacing w:line="276" w:lineRule="auto"/>
        <w:rPr>
          <w:rFonts w:ascii="Arial" w:hAnsi="Arial" w:cs="Arial"/>
          <w:sz w:val="24"/>
        </w:rPr>
      </w:pPr>
      <w:r>
        <w:rPr>
          <w:rFonts w:ascii="Arial" w:hAnsi="Arial" w:cs="Arial"/>
          <w:sz w:val="24"/>
        </w:rPr>
        <w:t xml:space="preserve">Transforming Care </w:t>
      </w:r>
      <w:r w:rsidR="00E10865">
        <w:rPr>
          <w:rFonts w:ascii="Arial" w:hAnsi="Arial" w:cs="Arial"/>
          <w:sz w:val="24"/>
        </w:rPr>
        <w:t>Programme 2015</w:t>
      </w:r>
    </w:p>
    <w:p w:rsidR="008734D7" w:rsidRDefault="008734D7" w:rsidP="00411D06">
      <w:pPr>
        <w:spacing w:line="276" w:lineRule="auto"/>
        <w:rPr>
          <w:rFonts w:ascii="Arial" w:hAnsi="Arial" w:cs="Arial"/>
          <w:sz w:val="24"/>
        </w:rPr>
      </w:pPr>
      <w:r>
        <w:rPr>
          <w:rFonts w:ascii="Arial" w:hAnsi="Arial" w:cs="Arial"/>
          <w:sz w:val="24"/>
        </w:rPr>
        <w:t>Working Together [Safeguarding Children] 2018</w:t>
      </w:r>
    </w:p>
    <w:p w:rsidR="00E10865" w:rsidRPr="00E10865" w:rsidRDefault="00E10865" w:rsidP="0067251A">
      <w:pPr>
        <w:pBdr>
          <w:top w:val="single" w:sz="4" w:space="1" w:color="auto"/>
          <w:left w:val="single" w:sz="4" w:space="4" w:color="auto"/>
          <w:bottom w:val="single" w:sz="4" w:space="1" w:color="auto"/>
          <w:right w:val="single" w:sz="4" w:space="4" w:color="auto"/>
        </w:pBdr>
        <w:spacing w:line="276" w:lineRule="auto"/>
        <w:rPr>
          <w:rFonts w:ascii="Arial" w:hAnsi="Arial" w:cs="Arial"/>
          <w:b/>
          <w:sz w:val="24"/>
        </w:rPr>
      </w:pPr>
      <w:r w:rsidRPr="00E10865">
        <w:rPr>
          <w:rFonts w:ascii="Arial" w:hAnsi="Arial" w:cs="Arial"/>
          <w:b/>
          <w:sz w:val="24"/>
        </w:rPr>
        <w:t>Statutory Responsibilities [duties]</w:t>
      </w:r>
    </w:p>
    <w:p w:rsidR="00E10865" w:rsidRDefault="00E10865" w:rsidP="00411D06">
      <w:pPr>
        <w:spacing w:line="276" w:lineRule="auto"/>
        <w:rPr>
          <w:rFonts w:ascii="Arial" w:hAnsi="Arial" w:cs="Arial"/>
          <w:sz w:val="24"/>
        </w:rPr>
      </w:pPr>
      <w:r>
        <w:rPr>
          <w:rFonts w:ascii="Arial" w:hAnsi="Arial" w:cs="Arial"/>
          <w:sz w:val="24"/>
        </w:rPr>
        <w:t xml:space="preserve">All agencies, providers and services have a number of </w:t>
      </w:r>
      <w:r w:rsidRPr="00E10865">
        <w:rPr>
          <w:rFonts w:ascii="Arial" w:hAnsi="Arial" w:cs="Arial"/>
          <w:b/>
          <w:sz w:val="24"/>
        </w:rPr>
        <w:t>joint</w:t>
      </w:r>
      <w:r>
        <w:rPr>
          <w:rFonts w:ascii="Arial" w:hAnsi="Arial" w:cs="Arial"/>
          <w:sz w:val="24"/>
        </w:rPr>
        <w:t xml:space="preserve"> statutory responsibilities</w:t>
      </w:r>
      <w:r w:rsidR="008734D7">
        <w:rPr>
          <w:rFonts w:ascii="Arial" w:hAnsi="Arial" w:cs="Arial"/>
          <w:sz w:val="24"/>
        </w:rPr>
        <w:t>. These apply to all those aged 0-25 with SEND – at SEN Support and with an EHCP.</w:t>
      </w:r>
    </w:p>
    <w:p w:rsidR="00E10865" w:rsidRDefault="00E10865" w:rsidP="00411D06">
      <w:pPr>
        <w:spacing w:line="276" w:lineRule="auto"/>
        <w:rPr>
          <w:rFonts w:ascii="Arial" w:hAnsi="Arial" w:cs="Arial"/>
          <w:sz w:val="24"/>
        </w:rPr>
      </w:pPr>
      <w:r w:rsidRPr="00E10865">
        <w:rPr>
          <w:rFonts w:ascii="Arial" w:hAnsi="Arial" w:cs="Arial"/>
          <w:b/>
          <w:sz w:val="24"/>
        </w:rPr>
        <w:t>Co-production</w:t>
      </w:r>
      <w:r>
        <w:rPr>
          <w:rFonts w:ascii="Arial" w:hAnsi="Arial" w:cs="Arial"/>
          <w:sz w:val="24"/>
        </w:rPr>
        <w:t>: children/young people with SEND and their parents/carers must be fully involved in decisions that affect them – at individual level and at a strategic [service and whole system] level. ‘No decision about me without me’ and ‘better together’.</w:t>
      </w:r>
    </w:p>
    <w:p w:rsidR="00E10865" w:rsidRDefault="00E10865" w:rsidP="00411D06">
      <w:pPr>
        <w:spacing w:line="276" w:lineRule="auto"/>
        <w:rPr>
          <w:rFonts w:ascii="Arial" w:hAnsi="Arial" w:cs="Arial"/>
          <w:sz w:val="24"/>
        </w:rPr>
      </w:pPr>
      <w:r w:rsidRPr="0067251A">
        <w:rPr>
          <w:rFonts w:ascii="Arial" w:hAnsi="Arial" w:cs="Arial"/>
          <w:b/>
          <w:sz w:val="24"/>
        </w:rPr>
        <w:t>Collaborative, joint working</w:t>
      </w:r>
      <w:r>
        <w:rPr>
          <w:rFonts w:ascii="Arial" w:hAnsi="Arial" w:cs="Arial"/>
          <w:sz w:val="24"/>
        </w:rPr>
        <w:t>: All adults involved in supporting children and young people must work together</w:t>
      </w:r>
      <w:r w:rsidR="008734D7">
        <w:rPr>
          <w:rFonts w:ascii="Arial" w:hAnsi="Arial" w:cs="Arial"/>
          <w:sz w:val="24"/>
        </w:rPr>
        <w:t xml:space="preserve">. This includes sharing information </w:t>
      </w:r>
      <w:r w:rsidR="001A2CA5">
        <w:rPr>
          <w:rFonts w:ascii="Arial" w:hAnsi="Arial" w:cs="Arial"/>
          <w:sz w:val="24"/>
        </w:rPr>
        <w:t>in order</w:t>
      </w:r>
      <w:r w:rsidR="008734D7">
        <w:rPr>
          <w:rFonts w:ascii="Arial" w:hAnsi="Arial" w:cs="Arial"/>
          <w:sz w:val="24"/>
        </w:rPr>
        <w:t xml:space="preserve"> to work together effectively</w:t>
      </w:r>
      <w:r>
        <w:rPr>
          <w:rFonts w:ascii="Arial" w:hAnsi="Arial" w:cs="Arial"/>
          <w:sz w:val="24"/>
        </w:rPr>
        <w:t xml:space="preserve">. </w:t>
      </w:r>
      <w:r w:rsidR="008734D7">
        <w:rPr>
          <w:rFonts w:ascii="Arial" w:hAnsi="Arial" w:cs="Arial"/>
          <w:sz w:val="24"/>
        </w:rPr>
        <w:t>Joint working</w:t>
      </w:r>
      <w:r>
        <w:rPr>
          <w:rFonts w:ascii="Arial" w:hAnsi="Arial" w:cs="Arial"/>
          <w:sz w:val="24"/>
        </w:rPr>
        <w:t xml:space="preserve"> is </w:t>
      </w:r>
      <w:r w:rsidR="0067251A">
        <w:rPr>
          <w:rFonts w:ascii="Arial" w:hAnsi="Arial" w:cs="Arial"/>
          <w:sz w:val="24"/>
        </w:rPr>
        <w:t>achieved</w:t>
      </w:r>
      <w:r>
        <w:rPr>
          <w:rFonts w:ascii="Arial" w:hAnsi="Arial" w:cs="Arial"/>
          <w:sz w:val="24"/>
        </w:rPr>
        <w:t xml:space="preserve"> b</w:t>
      </w:r>
      <w:r w:rsidR="0067251A">
        <w:rPr>
          <w:rFonts w:ascii="Arial" w:hAnsi="Arial" w:cs="Arial"/>
          <w:sz w:val="24"/>
        </w:rPr>
        <w:t xml:space="preserve">y a </w:t>
      </w:r>
      <w:r w:rsidR="0067251A" w:rsidRPr="0067251A">
        <w:rPr>
          <w:rFonts w:ascii="Arial" w:hAnsi="Arial" w:cs="Arial"/>
          <w:b/>
          <w:sz w:val="24"/>
        </w:rPr>
        <w:t>‘person-centred</w:t>
      </w:r>
      <w:r w:rsidR="0067251A">
        <w:rPr>
          <w:rFonts w:ascii="Arial" w:hAnsi="Arial" w:cs="Arial"/>
          <w:b/>
          <w:sz w:val="24"/>
        </w:rPr>
        <w:t>’</w:t>
      </w:r>
      <w:r w:rsidR="0067251A" w:rsidRPr="0067251A">
        <w:rPr>
          <w:rFonts w:ascii="Arial" w:hAnsi="Arial" w:cs="Arial"/>
          <w:b/>
          <w:sz w:val="24"/>
        </w:rPr>
        <w:t xml:space="preserve">, </w:t>
      </w:r>
      <w:r w:rsidR="0067251A">
        <w:rPr>
          <w:rFonts w:ascii="Arial" w:hAnsi="Arial" w:cs="Arial"/>
          <w:b/>
          <w:sz w:val="24"/>
        </w:rPr>
        <w:t>‘</w:t>
      </w:r>
      <w:r w:rsidR="0067251A" w:rsidRPr="0067251A">
        <w:rPr>
          <w:rFonts w:ascii="Arial" w:hAnsi="Arial" w:cs="Arial"/>
          <w:b/>
          <w:sz w:val="24"/>
        </w:rPr>
        <w:t>team aroun</w:t>
      </w:r>
      <w:r w:rsidRPr="0067251A">
        <w:rPr>
          <w:rFonts w:ascii="Arial" w:hAnsi="Arial" w:cs="Arial"/>
          <w:b/>
          <w:sz w:val="24"/>
        </w:rPr>
        <w:t xml:space="preserve">d the </w:t>
      </w:r>
      <w:r w:rsidR="0067251A" w:rsidRPr="0067251A">
        <w:rPr>
          <w:rFonts w:ascii="Arial" w:hAnsi="Arial" w:cs="Arial"/>
          <w:b/>
          <w:sz w:val="24"/>
        </w:rPr>
        <w:t>person approach’</w:t>
      </w:r>
      <w:r w:rsidR="008734D7" w:rsidRPr="008734D7">
        <w:rPr>
          <w:rFonts w:ascii="Arial" w:hAnsi="Arial" w:cs="Arial"/>
          <w:sz w:val="24"/>
        </w:rPr>
        <w:t xml:space="preserve"> – overcoming obstacles and issues in order to deliver what is required to meet individual needs</w:t>
      </w:r>
      <w:r w:rsidR="0067251A" w:rsidRPr="008734D7">
        <w:rPr>
          <w:rFonts w:ascii="Arial" w:hAnsi="Arial" w:cs="Arial"/>
          <w:sz w:val="24"/>
        </w:rPr>
        <w:t>.</w:t>
      </w:r>
      <w:r w:rsidR="0067251A">
        <w:rPr>
          <w:rFonts w:ascii="Arial" w:hAnsi="Arial" w:cs="Arial"/>
          <w:sz w:val="24"/>
        </w:rPr>
        <w:t xml:space="preserve"> Joint assessment, joint planning, joint review. We understand the roles and responsibilities of everyone else and are more effective because we do things together, the experience for the child/young person and their parents/carers is more streamlined and effective, and the child’s journey is more successful and happy.</w:t>
      </w:r>
      <w:r w:rsidR="00EC3F8C">
        <w:rPr>
          <w:rFonts w:ascii="Arial" w:hAnsi="Arial" w:cs="Arial"/>
          <w:sz w:val="24"/>
        </w:rPr>
        <w:t xml:space="preserve"> ‘Knowsley Better Together’</w:t>
      </w:r>
    </w:p>
    <w:p w:rsidR="0067251A" w:rsidRPr="0067251A" w:rsidRDefault="0067251A" w:rsidP="00411D06">
      <w:pPr>
        <w:spacing w:line="276" w:lineRule="auto"/>
        <w:rPr>
          <w:rFonts w:ascii="Arial" w:hAnsi="Arial" w:cs="Arial"/>
          <w:sz w:val="24"/>
        </w:rPr>
      </w:pPr>
      <w:r w:rsidRPr="0067251A">
        <w:rPr>
          <w:rFonts w:ascii="Arial" w:hAnsi="Arial" w:cs="Arial"/>
          <w:b/>
          <w:sz w:val="24"/>
        </w:rPr>
        <w:t xml:space="preserve">Local Offer: </w:t>
      </w:r>
      <w:r>
        <w:rPr>
          <w:rFonts w:ascii="Arial" w:hAnsi="Arial" w:cs="Arial"/>
          <w:sz w:val="24"/>
        </w:rPr>
        <w:t>The local offer is what we expect to be available for children and young people with SEND and their parents/carers,</w:t>
      </w:r>
      <w:r w:rsidR="00961A61">
        <w:rPr>
          <w:rFonts w:ascii="Arial" w:hAnsi="Arial" w:cs="Arial"/>
          <w:sz w:val="24"/>
        </w:rPr>
        <w:t xml:space="preserve"> including details of</w:t>
      </w:r>
      <w:r>
        <w:rPr>
          <w:rFonts w:ascii="Arial" w:hAnsi="Arial" w:cs="Arial"/>
          <w:sz w:val="24"/>
        </w:rPr>
        <w:t xml:space="preserve"> all services</w:t>
      </w:r>
      <w:r w:rsidR="008734D7">
        <w:rPr>
          <w:rFonts w:ascii="Arial" w:hAnsi="Arial" w:cs="Arial"/>
          <w:sz w:val="24"/>
        </w:rPr>
        <w:t>,</w:t>
      </w:r>
      <w:r>
        <w:rPr>
          <w:rFonts w:ascii="Arial" w:hAnsi="Arial" w:cs="Arial"/>
          <w:sz w:val="24"/>
        </w:rPr>
        <w:t xml:space="preserve"> provision</w:t>
      </w:r>
      <w:r w:rsidR="008734D7">
        <w:rPr>
          <w:rFonts w:ascii="Arial" w:hAnsi="Arial" w:cs="Arial"/>
          <w:sz w:val="24"/>
        </w:rPr>
        <w:t xml:space="preserve"> and progression routes</w:t>
      </w:r>
      <w:r>
        <w:rPr>
          <w:rFonts w:ascii="Arial" w:hAnsi="Arial" w:cs="Arial"/>
          <w:sz w:val="24"/>
        </w:rPr>
        <w:t>. We must have a sufficient and appropriate offer to meet the needs and aspiration</w:t>
      </w:r>
      <w:r w:rsidR="00961A61">
        <w:rPr>
          <w:rFonts w:ascii="Arial" w:hAnsi="Arial" w:cs="Arial"/>
          <w:sz w:val="24"/>
        </w:rPr>
        <w:t>s</w:t>
      </w:r>
      <w:r>
        <w:rPr>
          <w:rFonts w:ascii="Arial" w:hAnsi="Arial" w:cs="Arial"/>
          <w:sz w:val="24"/>
        </w:rPr>
        <w:t xml:space="preserve"> of our cohort. We must develop and review our local offer in co-production with </w:t>
      </w:r>
      <w:r w:rsidRPr="0067251A">
        <w:rPr>
          <w:rFonts w:ascii="Arial" w:hAnsi="Arial" w:cs="Arial"/>
          <w:sz w:val="24"/>
        </w:rPr>
        <w:t>children and young people with SEND and their parents/carers</w:t>
      </w:r>
      <w:r>
        <w:rPr>
          <w:rFonts w:ascii="Arial" w:hAnsi="Arial" w:cs="Arial"/>
          <w:sz w:val="24"/>
        </w:rPr>
        <w:t>. We must have a Local Offer website that provides accessible information for children and young people with SEND as well as their parents/carers.</w:t>
      </w:r>
    </w:p>
    <w:p w:rsidR="00E10865" w:rsidRDefault="00E10865" w:rsidP="00411D06">
      <w:pPr>
        <w:spacing w:line="276" w:lineRule="auto"/>
        <w:rPr>
          <w:rFonts w:ascii="Arial" w:hAnsi="Arial" w:cs="Arial"/>
          <w:sz w:val="24"/>
        </w:rPr>
      </w:pPr>
    </w:p>
    <w:p w:rsidR="00411D06" w:rsidRDefault="00411D06" w:rsidP="008027E6">
      <w:pPr>
        <w:pBdr>
          <w:top w:val="single" w:sz="4" w:space="1" w:color="auto"/>
          <w:left w:val="single" w:sz="4" w:space="4" w:color="auto"/>
          <w:bottom w:val="single" w:sz="4" w:space="1" w:color="auto"/>
          <w:right w:val="single" w:sz="4" w:space="4" w:color="auto"/>
        </w:pBdr>
        <w:spacing w:before="240" w:line="276" w:lineRule="auto"/>
        <w:rPr>
          <w:rFonts w:ascii="Arial" w:hAnsi="Arial" w:cs="Arial"/>
          <w:b/>
          <w:sz w:val="24"/>
        </w:rPr>
      </w:pPr>
      <w:r w:rsidRPr="00E10865">
        <w:rPr>
          <w:rFonts w:ascii="Arial" w:hAnsi="Arial" w:cs="Arial"/>
          <w:b/>
          <w:sz w:val="24"/>
        </w:rPr>
        <w:t xml:space="preserve">Principles </w:t>
      </w:r>
    </w:p>
    <w:p w:rsidR="00076637" w:rsidRPr="00411D06" w:rsidRDefault="007B45EE" w:rsidP="00E10865">
      <w:pPr>
        <w:numPr>
          <w:ilvl w:val="0"/>
          <w:numId w:val="1"/>
        </w:numPr>
        <w:tabs>
          <w:tab w:val="left" w:pos="426"/>
        </w:tabs>
        <w:spacing w:line="276" w:lineRule="auto"/>
        <w:rPr>
          <w:rFonts w:ascii="Arial" w:hAnsi="Arial" w:cs="Arial"/>
          <w:sz w:val="24"/>
        </w:rPr>
      </w:pPr>
      <w:r w:rsidRPr="00411D06">
        <w:rPr>
          <w:rFonts w:ascii="Arial" w:hAnsi="Arial" w:cs="Arial"/>
          <w:sz w:val="24"/>
        </w:rPr>
        <w:t xml:space="preserve">All adults will follow the </w:t>
      </w:r>
      <w:r w:rsidRPr="00411D06">
        <w:rPr>
          <w:rFonts w:ascii="Arial" w:hAnsi="Arial" w:cs="Arial"/>
          <w:b/>
          <w:sz w:val="24"/>
        </w:rPr>
        <w:t>Thrive</w:t>
      </w:r>
      <w:r w:rsidR="008734D7">
        <w:rPr>
          <w:rStyle w:val="FootnoteReference"/>
          <w:rFonts w:ascii="Arial" w:hAnsi="Arial" w:cs="Arial"/>
          <w:b/>
          <w:sz w:val="24"/>
        </w:rPr>
        <w:footnoteReference w:id="1"/>
      </w:r>
      <w:r w:rsidRPr="00411D06">
        <w:rPr>
          <w:rFonts w:ascii="Arial" w:hAnsi="Arial" w:cs="Arial"/>
          <w:b/>
          <w:sz w:val="24"/>
        </w:rPr>
        <w:t xml:space="preserve"> approach</w:t>
      </w:r>
      <w:r w:rsidR="00411D06" w:rsidRPr="00411D06">
        <w:rPr>
          <w:rFonts w:ascii="Arial" w:hAnsi="Arial" w:cs="Arial"/>
          <w:sz w:val="24"/>
        </w:rPr>
        <w:t xml:space="preserve"> when</w:t>
      </w:r>
      <w:r w:rsidRPr="00411D06">
        <w:rPr>
          <w:rFonts w:ascii="Arial" w:hAnsi="Arial" w:cs="Arial"/>
          <w:sz w:val="24"/>
        </w:rPr>
        <w:t xml:space="preserve"> identifying and meetin</w:t>
      </w:r>
      <w:r w:rsidR="008027E6">
        <w:rPr>
          <w:rFonts w:ascii="Arial" w:hAnsi="Arial" w:cs="Arial"/>
          <w:sz w:val="24"/>
        </w:rPr>
        <w:t xml:space="preserve">g needs – which results in the </w:t>
      </w:r>
      <w:r w:rsidRPr="00411D06">
        <w:rPr>
          <w:rFonts w:ascii="Arial" w:hAnsi="Arial" w:cs="Arial"/>
          <w:sz w:val="24"/>
        </w:rPr>
        <w:t>right support at the right time</w:t>
      </w:r>
      <w:r w:rsidR="008027E6">
        <w:rPr>
          <w:rFonts w:ascii="Arial" w:hAnsi="Arial" w:cs="Arial"/>
          <w:sz w:val="24"/>
        </w:rPr>
        <w:t>. Support is always identified and provided – at a level commensurate with need.</w:t>
      </w:r>
      <w:r w:rsidRPr="00411D06">
        <w:rPr>
          <w:rFonts w:ascii="Arial" w:hAnsi="Arial" w:cs="Arial"/>
          <w:sz w:val="24"/>
        </w:rPr>
        <w:t xml:space="preserve"> </w:t>
      </w:r>
    </w:p>
    <w:p w:rsidR="00411D06" w:rsidRPr="00411D06" w:rsidRDefault="007B45EE" w:rsidP="00E10865">
      <w:pPr>
        <w:numPr>
          <w:ilvl w:val="0"/>
          <w:numId w:val="1"/>
        </w:numPr>
        <w:tabs>
          <w:tab w:val="left" w:pos="426"/>
        </w:tabs>
        <w:spacing w:line="276" w:lineRule="auto"/>
        <w:rPr>
          <w:rFonts w:ascii="Arial" w:hAnsi="Arial" w:cs="Arial"/>
          <w:sz w:val="24"/>
        </w:rPr>
      </w:pPr>
      <w:r w:rsidRPr="00411D06">
        <w:rPr>
          <w:rFonts w:ascii="Arial" w:hAnsi="Arial" w:cs="Arial"/>
          <w:sz w:val="24"/>
        </w:rPr>
        <w:t xml:space="preserve">Adults will support children and young people with SEND in order to equip them as far as possible to </w:t>
      </w:r>
      <w:r w:rsidRPr="00411D06">
        <w:rPr>
          <w:rFonts w:ascii="Arial" w:hAnsi="Arial" w:cs="Arial"/>
          <w:b/>
          <w:sz w:val="24"/>
        </w:rPr>
        <w:t xml:space="preserve">live independently, find a job and </w:t>
      </w:r>
      <w:r w:rsidR="00411D06" w:rsidRPr="00411D06">
        <w:rPr>
          <w:rFonts w:ascii="Arial" w:hAnsi="Arial" w:cs="Arial"/>
          <w:b/>
          <w:sz w:val="24"/>
        </w:rPr>
        <w:t>live a healthy</w:t>
      </w:r>
      <w:r w:rsidRPr="00411D06">
        <w:rPr>
          <w:rFonts w:ascii="Arial" w:hAnsi="Arial" w:cs="Arial"/>
          <w:b/>
          <w:sz w:val="24"/>
        </w:rPr>
        <w:t xml:space="preserve"> an</w:t>
      </w:r>
      <w:r w:rsidR="00411D06" w:rsidRPr="00411D06">
        <w:rPr>
          <w:rFonts w:ascii="Arial" w:hAnsi="Arial" w:cs="Arial"/>
          <w:b/>
          <w:sz w:val="24"/>
        </w:rPr>
        <w:t>d</w:t>
      </w:r>
      <w:r w:rsidRPr="00411D06">
        <w:rPr>
          <w:rFonts w:ascii="Arial" w:hAnsi="Arial" w:cs="Arial"/>
          <w:b/>
          <w:sz w:val="24"/>
        </w:rPr>
        <w:t xml:space="preserve"> active social life</w:t>
      </w:r>
      <w:r w:rsidRPr="00411D06">
        <w:rPr>
          <w:rFonts w:ascii="Arial" w:hAnsi="Arial" w:cs="Arial"/>
          <w:sz w:val="24"/>
        </w:rPr>
        <w:t xml:space="preserve"> – with the right level of support when they need it</w:t>
      </w:r>
      <w:r w:rsidR="00411D06" w:rsidRPr="00411D06">
        <w:rPr>
          <w:rFonts w:ascii="Arial" w:hAnsi="Arial" w:cs="Arial"/>
          <w:sz w:val="24"/>
        </w:rPr>
        <w:t xml:space="preserve"> as an adult</w:t>
      </w:r>
      <w:r w:rsidRPr="00411D06">
        <w:rPr>
          <w:rFonts w:ascii="Arial" w:hAnsi="Arial" w:cs="Arial"/>
          <w:sz w:val="24"/>
        </w:rPr>
        <w:t xml:space="preserve">. </w:t>
      </w:r>
      <w:r w:rsidR="00411D06" w:rsidRPr="00411D06">
        <w:rPr>
          <w:rFonts w:ascii="Arial" w:hAnsi="Arial" w:cs="Arial"/>
          <w:sz w:val="24"/>
        </w:rPr>
        <w:t>This means that:</w:t>
      </w:r>
    </w:p>
    <w:p w:rsidR="008027E6" w:rsidRDefault="008027E6" w:rsidP="008027E6">
      <w:pPr>
        <w:pStyle w:val="ListParagraph"/>
        <w:numPr>
          <w:ilvl w:val="1"/>
          <w:numId w:val="1"/>
        </w:numPr>
        <w:tabs>
          <w:tab w:val="left" w:pos="426"/>
          <w:tab w:val="left" w:pos="993"/>
        </w:tabs>
        <w:spacing w:line="276" w:lineRule="auto"/>
      </w:pPr>
      <w:r>
        <w:t xml:space="preserve"> </w:t>
      </w:r>
      <w:r w:rsidR="00411D06" w:rsidRPr="008027E6">
        <w:t xml:space="preserve">We </w:t>
      </w:r>
      <w:r w:rsidR="00411D06" w:rsidRPr="008027E6">
        <w:rPr>
          <w:b/>
        </w:rPr>
        <w:t xml:space="preserve">‘prepare children and young people for adulthood’ </w:t>
      </w:r>
      <w:r>
        <w:t>from the earliest age</w:t>
      </w:r>
    </w:p>
    <w:p w:rsidR="00411D06" w:rsidRDefault="00411D06" w:rsidP="008027E6">
      <w:pPr>
        <w:pStyle w:val="ListParagraph"/>
        <w:tabs>
          <w:tab w:val="left" w:pos="426"/>
          <w:tab w:val="left" w:pos="993"/>
        </w:tabs>
        <w:spacing w:line="276" w:lineRule="auto"/>
        <w:ind w:left="370" w:firstLine="0"/>
      </w:pPr>
      <w:r w:rsidRPr="008027E6">
        <w:t>and stage possible</w:t>
      </w:r>
    </w:p>
    <w:p w:rsidR="008027E6" w:rsidRPr="008027E6" w:rsidRDefault="008027E6" w:rsidP="008027E6">
      <w:pPr>
        <w:pStyle w:val="ListParagraph"/>
        <w:tabs>
          <w:tab w:val="left" w:pos="426"/>
          <w:tab w:val="left" w:pos="993"/>
        </w:tabs>
        <w:spacing w:line="276" w:lineRule="auto"/>
        <w:ind w:left="370" w:firstLine="0"/>
      </w:pPr>
    </w:p>
    <w:p w:rsidR="008027E6" w:rsidRPr="008027E6" w:rsidRDefault="007B45EE" w:rsidP="008027E6">
      <w:pPr>
        <w:pStyle w:val="ListParagraph"/>
        <w:numPr>
          <w:ilvl w:val="1"/>
          <w:numId w:val="1"/>
        </w:numPr>
        <w:tabs>
          <w:tab w:val="left" w:pos="426"/>
        </w:tabs>
        <w:spacing w:line="276" w:lineRule="auto"/>
      </w:pPr>
      <w:r w:rsidRPr="008027E6">
        <w:t xml:space="preserve">We seek to </w:t>
      </w:r>
      <w:r w:rsidRPr="008027E6">
        <w:rPr>
          <w:b/>
        </w:rPr>
        <w:t>‘empower’ and ‘enable’</w:t>
      </w:r>
      <w:r w:rsidRPr="008027E6">
        <w:t xml:space="preserve"> and will actively work to avoid developing unnecessary dependency. </w:t>
      </w:r>
    </w:p>
    <w:p w:rsidR="008027E6" w:rsidRDefault="008027E6" w:rsidP="008027E6">
      <w:pPr>
        <w:pStyle w:val="ListParagraph"/>
        <w:tabs>
          <w:tab w:val="left" w:pos="426"/>
        </w:tabs>
        <w:spacing w:before="240" w:line="276" w:lineRule="auto"/>
        <w:ind w:left="370" w:firstLine="0"/>
      </w:pPr>
    </w:p>
    <w:p w:rsidR="00411D06" w:rsidRPr="008027E6" w:rsidRDefault="007B45EE" w:rsidP="008027E6">
      <w:pPr>
        <w:pStyle w:val="ListParagraph"/>
        <w:numPr>
          <w:ilvl w:val="1"/>
          <w:numId w:val="1"/>
        </w:numPr>
        <w:tabs>
          <w:tab w:val="left" w:pos="426"/>
        </w:tabs>
        <w:spacing w:before="240" w:line="276" w:lineRule="auto"/>
      </w:pPr>
      <w:r w:rsidRPr="008027E6">
        <w:t xml:space="preserve">We agree with the </w:t>
      </w:r>
      <w:r w:rsidRPr="008027E6">
        <w:rPr>
          <w:b/>
        </w:rPr>
        <w:t>social model of disability</w:t>
      </w:r>
      <w:r w:rsidRPr="008027E6">
        <w:t xml:space="preserve"> – a child may have an impairment that presents difficulties in developing and learning, but it is other people and the environment that ‘disables’ them. </w:t>
      </w:r>
    </w:p>
    <w:p w:rsidR="008027E6" w:rsidRDefault="008027E6" w:rsidP="008027E6">
      <w:pPr>
        <w:pStyle w:val="ListParagraph"/>
        <w:tabs>
          <w:tab w:val="left" w:pos="426"/>
        </w:tabs>
        <w:spacing w:line="276" w:lineRule="auto"/>
        <w:ind w:left="370" w:firstLine="0"/>
      </w:pPr>
    </w:p>
    <w:p w:rsidR="00411D06" w:rsidRPr="008027E6" w:rsidRDefault="00411D06" w:rsidP="008027E6">
      <w:pPr>
        <w:pStyle w:val="ListParagraph"/>
        <w:numPr>
          <w:ilvl w:val="1"/>
          <w:numId w:val="1"/>
        </w:numPr>
        <w:tabs>
          <w:tab w:val="left" w:pos="426"/>
        </w:tabs>
        <w:spacing w:line="276" w:lineRule="auto"/>
      </w:pPr>
      <w:r w:rsidRPr="008027E6">
        <w:t xml:space="preserve">We will seek to engage and develop our </w:t>
      </w:r>
      <w:r w:rsidRPr="008027E6">
        <w:rPr>
          <w:b/>
        </w:rPr>
        <w:t>community assets</w:t>
      </w:r>
      <w:r w:rsidRPr="008027E6">
        <w:t xml:space="preserve"> [it takes a village to raise a child]; encouraging extended family and community [neighbours and organisations] to support children and young people with SEND so that they become happy and fulfilled participants in their local community. We </w:t>
      </w:r>
      <w:r w:rsidR="00961A61" w:rsidRPr="008027E6">
        <w:t>will</w:t>
      </w:r>
      <w:r w:rsidRPr="008027E6">
        <w:t xml:space="preserve"> </w:t>
      </w:r>
      <w:r w:rsidR="00961A61" w:rsidRPr="008027E6">
        <w:t>endeavour to</w:t>
      </w:r>
      <w:r w:rsidRPr="008027E6">
        <w:t xml:space="preserve"> enhance the quality of life for each other.</w:t>
      </w:r>
    </w:p>
    <w:p w:rsidR="004B49F2" w:rsidRPr="004B49F2" w:rsidRDefault="004B49F2" w:rsidP="004B49F2">
      <w:pPr>
        <w:tabs>
          <w:tab w:val="left" w:pos="426"/>
        </w:tabs>
        <w:spacing w:after="0" w:line="276" w:lineRule="auto"/>
        <w:ind w:left="10"/>
        <w:rPr>
          <w:rFonts w:ascii="Arial" w:hAnsi="Arial" w:cs="Arial"/>
          <w:sz w:val="24"/>
        </w:rPr>
      </w:pPr>
    </w:p>
    <w:p w:rsidR="00411D06" w:rsidRPr="00411D06" w:rsidRDefault="007B45EE" w:rsidP="00E10865">
      <w:pPr>
        <w:numPr>
          <w:ilvl w:val="0"/>
          <w:numId w:val="1"/>
        </w:numPr>
        <w:tabs>
          <w:tab w:val="left" w:pos="426"/>
        </w:tabs>
        <w:spacing w:line="276" w:lineRule="auto"/>
        <w:rPr>
          <w:rFonts w:ascii="Arial" w:hAnsi="Arial" w:cs="Arial"/>
          <w:sz w:val="24"/>
        </w:rPr>
      </w:pPr>
      <w:r w:rsidRPr="00411D06">
        <w:rPr>
          <w:rFonts w:ascii="Arial" w:hAnsi="Arial" w:cs="Arial"/>
          <w:b/>
          <w:sz w:val="24"/>
        </w:rPr>
        <w:t>Reasonable adjustment</w:t>
      </w:r>
      <w:r w:rsidR="00411D06" w:rsidRPr="00411D06">
        <w:rPr>
          <w:rFonts w:ascii="Arial" w:hAnsi="Arial" w:cs="Arial"/>
          <w:sz w:val="24"/>
        </w:rPr>
        <w:t xml:space="preserve"> means that</w:t>
      </w:r>
      <w:r w:rsidRPr="00411D06">
        <w:rPr>
          <w:rFonts w:ascii="Arial" w:hAnsi="Arial" w:cs="Arial"/>
          <w:sz w:val="24"/>
        </w:rPr>
        <w:t xml:space="preserve"> others change to accommodate the needs of person with SEND</w:t>
      </w:r>
      <w:r w:rsidR="00411D06" w:rsidRPr="00411D06">
        <w:rPr>
          <w:rFonts w:ascii="Arial" w:hAnsi="Arial" w:cs="Arial"/>
          <w:sz w:val="24"/>
        </w:rPr>
        <w:t xml:space="preserve">. Everyone has access to the same opportunities appropriate to their needs because we treat everyone </w:t>
      </w:r>
      <w:r w:rsidR="00961A61">
        <w:rPr>
          <w:rFonts w:ascii="Arial" w:hAnsi="Arial" w:cs="Arial"/>
          <w:sz w:val="24"/>
        </w:rPr>
        <w:t>as individuals</w:t>
      </w:r>
      <w:r w:rsidR="00411D06" w:rsidRPr="00411D06">
        <w:rPr>
          <w:rFonts w:ascii="Arial" w:hAnsi="Arial" w:cs="Arial"/>
          <w:sz w:val="24"/>
        </w:rPr>
        <w:t>.</w:t>
      </w:r>
      <w:r w:rsidRPr="00411D06">
        <w:rPr>
          <w:rFonts w:ascii="Arial" w:hAnsi="Arial" w:cs="Arial"/>
          <w:sz w:val="24"/>
        </w:rPr>
        <w:t xml:space="preserve"> </w:t>
      </w:r>
    </w:p>
    <w:p w:rsidR="00411D06" w:rsidRPr="00411D06" w:rsidRDefault="00411D06" w:rsidP="00E10865">
      <w:pPr>
        <w:numPr>
          <w:ilvl w:val="0"/>
          <w:numId w:val="1"/>
        </w:numPr>
        <w:tabs>
          <w:tab w:val="left" w:pos="426"/>
        </w:tabs>
        <w:spacing w:line="276" w:lineRule="auto"/>
        <w:rPr>
          <w:rFonts w:ascii="Arial" w:hAnsi="Arial" w:cs="Arial"/>
          <w:sz w:val="24"/>
        </w:rPr>
      </w:pPr>
      <w:r w:rsidRPr="00411D06">
        <w:rPr>
          <w:rFonts w:ascii="Arial" w:hAnsi="Arial" w:cs="Arial"/>
          <w:sz w:val="24"/>
        </w:rPr>
        <w:t xml:space="preserve">All children and young people are </w:t>
      </w:r>
      <w:r w:rsidRPr="00411D06">
        <w:rPr>
          <w:rFonts w:ascii="Arial" w:hAnsi="Arial" w:cs="Arial"/>
          <w:b/>
          <w:sz w:val="24"/>
        </w:rPr>
        <w:t>valued equally</w:t>
      </w:r>
      <w:r w:rsidRPr="00411D06">
        <w:rPr>
          <w:rFonts w:ascii="Arial" w:hAnsi="Arial" w:cs="Arial"/>
          <w:sz w:val="24"/>
        </w:rPr>
        <w:t xml:space="preserve"> whatever their needs or ability</w:t>
      </w:r>
    </w:p>
    <w:p w:rsidR="00411D06" w:rsidRPr="00411D06" w:rsidRDefault="00411D06" w:rsidP="00E10865">
      <w:pPr>
        <w:numPr>
          <w:ilvl w:val="0"/>
          <w:numId w:val="1"/>
        </w:numPr>
        <w:tabs>
          <w:tab w:val="left" w:pos="426"/>
        </w:tabs>
        <w:spacing w:line="276" w:lineRule="auto"/>
        <w:rPr>
          <w:rFonts w:ascii="Arial" w:hAnsi="Arial" w:cs="Arial"/>
          <w:sz w:val="24"/>
        </w:rPr>
      </w:pPr>
      <w:r w:rsidRPr="00411D06">
        <w:rPr>
          <w:rFonts w:ascii="Arial" w:hAnsi="Arial" w:cs="Arial"/>
          <w:sz w:val="24"/>
        </w:rPr>
        <w:t xml:space="preserve">Once they reach 16 years of age, we </w:t>
      </w:r>
      <w:r w:rsidRPr="00411D06">
        <w:rPr>
          <w:rFonts w:ascii="Arial" w:hAnsi="Arial" w:cs="Arial"/>
          <w:b/>
          <w:sz w:val="24"/>
        </w:rPr>
        <w:t>prioritise the choices and voice of the child/young person</w:t>
      </w:r>
      <w:r w:rsidRPr="00411D06">
        <w:rPr>
          <w:rFonts w:ascii="Arial" w:hAnsi="Arial" w:cs="Arial"/>
          <w:sz w:val="24"/>
        </w:rPr>
        <w:t>; process and partnership working is responsible for ensuring that decisions are in the best interests of the child/young person. In order to balance choice with safety</w:t>
      </w:r>
      <w:r w:rsidR="00961A61">
        <w:rPr>
          <w:rFonts w:ascii="Arial" w:hAnsi="Arial" w:cs="Arial"/>
          <w:sz w:val="24"/>
        </w:rPr>
        <w:t>,</w:t>
      </w:r>
      <w:r w:rsidRPr="00411D06">
        <w:rPr>
          <w:rFonts w:ascii="Arial" w:hAnsi="Arial" w:cs="Arial"/>
          <w:sz w:val="24"/>
        </w:rPr>
        <w:t xml:space="preserve"> all adults involved in the life of the child/young person have a joint responsibility as follows:</w:t>
      </w:r>
    </w:p>
    <w:p w:rsidR="00411D06" w:rsidRPr="004B49F2" w:rsidRDefault="00411D06" w:rsidP="004B49F2">
      <w:pPr>
        <w:pStyle w:val="ListParagraph"/>
        <w:numPr>
          <w:ilvl w:val="1"/>
          <w:numId w:val="1"/>
        </w:numPr>
        <w:tabs>
          <w:tab w:val="left" w:pos="426"/>
        </w:tabs>
        <w:spacing w:line="276" w:lineRule="auto"/>
      </w:pPr>
      <w:r w:rsidRPr="004B49F2">
        <w:t>We acknowledge the right</w:t>
      </w:r>
      <w:r w:rsidR="004B49F2">
        <w:t xml:space="preserve"> of children and young people with SEND to make mistakes</w:t>
      </w:r>
      <w:r w:rsidRPr="004B49F2">
        <w:t xml:space="preserve"> and the responsibility of all adults to keep children and young people safe from harm</w:t>
      </w:r>
    </w:p>
    <w:p w:rsidR="005A7D5F" w:rsidRDefault="005A7D5F" w:rsidP="00411D06">
      <w:pPr>
        <w:spacing w:line="276" w:lineRule="auto"/>
        <w:rPr>
          <w:rFonts w:ascii="Arial" w:hAnsi="Arial" w:cs="Arial"/>
          <w:sz w:val="24"/>
        </w:rPr>
      </w:pPr>
    </w:p>
    <w:p w:rsidR="004B49F2" w:rsidRDefault="004B49F2" w:rsidP="00411D06">
      <w:pPr>
        <w:spacing w:line="276" w:lineRule="auto"/>
        <w:rPr>
          <w:rFonts w:ascii="Arial" w:hAnsi="Arial" w:cs="Arial"/>
          <w:sz w:val="24"/>
        </w:rPr>
      </w:pPr>
    </w:p>
    <w:p w:rsidR="00EC3F8C" w:rsidRDefault="00EC3F8C" w:rsidP="00EC3F8C">
      <w:pPr>
        <w:pBdr>
          <w:top w:val="single" w:sz="4" w:space="1" w:color="auto"/>
          <w:left w:val="single" w:sz="4" w:space="4" w:color="auto"/>
          <w:bottom w:val="single" w:sz="4" w:space="1" w:color="auto"/>
          <w:right w:val="single" w:sz="4" w:space="4" w:color="auto"/>
        </w:pBdr>
        <w:spacing w:line="276" w:lineRule="auto"/>
        <w:rPr>
          <w:rFonts w:ascii="Arial" w:hAnsi="Arial" w:cs="Arial"/>
          <w:b/>
          <w:sz w:val="24"/>
        </w:rPr>
      </w:pPr>
      <w:r w:rsidRPr="00EC3F8C">
        <w:rPr>
          <w:rFonts w:ascii="Arial" w:hAnsi="Arial" w:cs="Arial"/>
          <w:b/>
          <w:sz w:val="24"/>
        </w:rPr>
        <w:t>Our cohort – children and young people with SEND 0-25</w:t>
      </w:r>
    </w:p>
    <w:p w:rsidR="006C3FCB" w:rsidRDefault="009741E2" w:rsidP="009741E2">
      <w:pPr>
        <w:spacing w:line="276" w:lineRule="auto"/>
        <w:rPr>
          <w:rFonts w:ascii="Arial" w:hAnsi="Arial" w:cs="Arial"/>
          <w:sz w:val="24"/>
        </w:rPr>
      </w:pPr>
      <w:r>
        <w:rPr>
          <w:rFonts w:ascii="Arial" w:hAnsi="Arial" w:cs="Arial"/>
          <w:sz w:val="24"/>
        </w:rPr>
        <w:t xml:space="preserve">The </w:t>
      </w:r>
      <w:r w:rsidRPr="009741E2">
        <w:rPr>
          <w:rFonts w:ascii="Arial" w:hAnsi="Arial" w:cs="Arial"/>
          <w:sz w:val="24"/>
        </w:rPr>
        <w:t>child p</w:t>
      </w:r>
      <w:r>
        <w:rPr>
          <w:rFonts w:ascii="Arial" w:hAnsi="Arial" w:cs="Arial"/>
          <w:sz w:val="24"/>
        </w:rPr>
        <w:t xml:space="preserve">opulation in Knowsley </w:t>
      </w:r>
      <w:r w:rsidR="006C3FCB">
        <w:rPr>
          <w:rFonts w:ascii="Arial" w:hAnsi="Arial" w:cs="Arial"/>
          <w:sz w:val="24"/>
        </w:rPr>
        <w:t xml:space="preserve">shows a projected </w:t>
      </w:r>
      <w:r>
        <w:rPr>
          <w:rFonts w:ascii="Arial" w:hAnsi="Arial" w:cs="Arial"/>
          <w:sz w:val="24"/>
        </w:rPr>
        <w:t>increase</w:t>
      </w:r>
      <w:r w:rsidRPr="009741E2">
        <w:rPr>
          <w:rFonts w:ascii="Arial" w:hAnsi="Arial" w:cs="Arial"/>
          <w:sz w:val="24"/>
        </w:rPr>
        <w:t>, with ad</w:t>
      </w:r>
      <w:r w:rsidR="006C3FCB">
        <w:rPr>
          <w:rFonts w:ascii="Arial" w:hAnsi="Arial" w:cs="Arial"/>
          <w:sz w:val="24"/>
        </w:rPr>
        <w:t>missions into primary schools</w:t>
      </w:r>
      <w:r w:rsidRPr="009741E2">
        <w:rPr>
          <w:rFonts w:ascii="Arial" w:hAnsi="Arial" w:cs="Arial"/>
          <w:sz w:val="24"/>
        </w:rPr>
        <w:t xml:space="preserve"> increasing by more 5,000 (primarily due to increased</w:t>
      </w:r>
      <w:r w:rsidR="006C3FCB">
        <w:rPr>
          <w:rFonts w:ascii="Arial" w:hAnsi="Arial" w:cs="Arial"/>
          <w:sz w:val="24"/>
        </w:rPr>
        <w:t xml:space="preserve"> house building) by 2021.</w:t>
      </w:r>
    </w:p>
    <w:p w:rsidR="009741E2" w:rsidRPr="009741E2" w:rsidRDefault="006C3FCB" w:rsidP="006C3FCB">
      <w:pPr>
        <w:spacing w:line="276" w:lineRule="auto"/>
        <w:rPr>
          <w:rFonts w:ascii="Arial" w:hAnsi="Arial" w:cs="Arial"/>
          <w:sz w:val="24"/>
        </w:rPr>
      </w:pPr>
      <w:r>
        <w:rPr>
          <w:rFonts w:ascii="Arial" w:hAnsi="Arial" w:cs="Arial"/>
          <w:sz w:val="24"/>
        </w:rPr>
        <w:t>I</w:t>
      </w:r>
      <w:r w:rsidR="009741E2" w:rsidRPr="009741E2">
        <w:rPr>
          <w:rFonts w:ascii="Arial" w:hAnsi="Arial" w:cs="Arial"/>
          <w:sz w:val="24"/>
        </w:rPr>
        <w:t xml:space="preserve">t is difficult to predict the impact of increased population on </w:t>
      </w:r>
      <w:r>
        <w:rPr>
          <w:rFonts w:ascii="Arial" w:hAnsi="Arial" w:cs="Arial"/>
          <w:sz w:val="24"/>
        </w:rPr>
        <w:t xml:space="preserve">the numbers of those with </w:t>
      </w:r>
      <w:r w:rsidR="009741E2" w:rsidRPr="009741E2">
        <w:rPr>
          <w:rFonts w:ascii="Arial" w:hAnsi="Arial" w:cs="Arial"/>
          <w:sz w:val="24"/>
        </w:rPr>
        <w:t>SEND</w:t>
      </w:r>
      <w:r>
        <w:rPr>
          <w:rFonts w:ascii="Arial" w:hAnsi="Arial" w:cs="Arial"/>
          <w:sz w:val="24"/>
        </w:rPr>
        <w:t xml:space="preserve"> and we have therefore commissioned data analysis and projection from a specialist provider.</w:t>
      </w:r>
      <w:r w:rsidR="008027E6">
        <w:rPr>
          <w:rFonts w:ascii="Arial" w:hAnsi="Arial" w:cs="Arial"/>
          <w:sz w:val="24"/>
        </w:rPr>
        <w:t xml:space="preserve"> Data changes and should be noted as a snapshot that indicates a position and shows a trend.</w:t>
      </w:r>
    </w:p>
    <w:p w:rsidR="00EC3F8C" w:rsidRDefault="006C3FCB" w:rsidP="004B49F2">
      <w:pPr>
        <w:spacing w:after="0"/>
        <w:rPr>
          <w:rFonts w:ascii="Arial" w:hAnsi="Arial" w:cs="Arial"/>
          <w:sz w:val="24"/>
        </w:rPr>
      </w:pPr>
      <w:r>
        <w:rPr>
          <w:rFonts w:ascii="Arial" w:hAnsi="Arial" w:cs="Arial"/>
          <w:sz w:val="24"/>
        </w:rPr>
        <w:t xml:space="preserve">2017 data tells us </w:t>
      </w:r>
      <w:r w:rsidR="00ED5D16">
        <w:rPr>
          <w:rFonts w:ascii="Arial" w:hAnsi="Arial" w:cs="Arial"/>
          <w:sz w:val="24"/>
        </w:rPr>
        <w:t>that there</w:t>
      </w:r>
      <w:r w:rsidR="00EC3F8C">
        <w:rPr>
          <w:rFonts w:ascii="Arial" w:hAnsi="Arial" w:cs="Arial"/>
          <w:sz w:val="24"/>
        </w:rPr>
        <w:t xml:space="preserve"> are</w:t>
      </w:r>
      <w:r w:rsidR="00ED5D16">
        <w:rPr>
          <w:rFonts w:ascii="Arial" w:hAnsi="Arial" w:cs="Arial"/>
          <w:sz w:val="24"/>
        </w:rPr>
        <w:t xml:space="preserve"> </w:t>
      </w:r>
      <w:r w:rsidR="001A2CA5">
        <w:rPr>
          <w:rFonts w:ascii="Arial" w:hAnsi="Arial" w:cs="Arial"/>
          <w:sz w:val="24"/>
        </w:rPr>
        <w:t>4,295 children</w:t>
      </w:r>
      <w:r w:rsidR="00ED5D16">
        <w:rPr>
          <w:rFonts w:ascii="Arial" w:hAnsi="Arial" w:cs="Arial"/>
          <w:sz w:val="24"/>
        </w:rPr>
        <w:t xml:space="preserve"> and young people with SEND aged 0-25 resident in Knowsley</w:t>
      </w:r>
      <w:r w:rsidR="008027E6">
        <w:rPr>
          <w:rFonts w:ascii="Arial" w:hAnsi="Arial" w:cs="Arial"/>
          <w:sz w:val="24"/>
        </w:rPr>
        <w:t>. This reflects an increasing/decreasing trend</w:t>
      </w:r>
      <w:r w:rsidR="00EC3F8C">
        <w:rPr>
          <w:rFonts w:ascii="Arial" w:hAnsi="Arial" w:cs="Arial"/>
          <w:sz w:val="24"/>
        </w:rPr>
        <w:t xml:space="preserve"> </w:t>
      </w:r>
    </w:p>
    <w:p w:rsidR="00EC3F8C" w:rsidRPr="004B49F2" w:rsidRDefault="00EC3F8C" w:rsidP="004B49F2">
      <w:pPr>
        <w:pStyle w:val="ListParagraph"/>
        <w:numPr>
          <w:ilvl w:val="0"/>
          <w:numId w:val="3"/>
        </w:numPr>
        <w:tabs>
          <w:tab w:val="left" w:pos="1785"/>
        </w:tabs>
        <w:spacing w:after="0"/>
      </w:pPr>
      <w:r w:rsidRPr="004B49F2">
        <w:t xml:space="preserve">Knowsley still has the third highest rate of total SEND in England </w:t>
      </w:r>
      <w:r w:rsidR="008027E6" w:rsidRPr="004B49F2">
        <w:t>[a decreasing – improving trend]</w:t>
      </w:r>
    </w:p>
    <w:p w:rsidR="00EC3F8C" w:rsidRPr="004B49F2" w:rsidRDefault="00EC3F8C" w:rsidP="004B49F2">
      <w:pPr>
        <w:pStyle w:val="ListParagraph"/>
        <w:numPr>
          <w:ilvl w:val="0"/>
          <w:numId w:val="3"/>
        </w:numPr>
        <w:tabs>
          <w:tab w:val="left" w:pos="1785"/>
        </w:tabs>
        <w:spacing w:after="0"/>
      </w:pPr>
      <w:r w:rsidRPr="004B49F2">
        <w:t>Knowsley has the 7</w:t>
      </w:r>
      <w:r w:rsidRPr="004B49F2">
        <w:rPr>
          <w:vertAlign w:val="superscript"/>
        </w:rPr>
        <w:t>th</w:t>
      </w:r>
      <w:r w:rsidRPr="004B49F2">
        <w:t xml:space="preserve"> highest rate of children receiving SEN Support in England </w:t>
      </w:r>
      <w:r w:rsidR="008027E6" w:rsidRPr="004B49F2">
        <w:t>[a decreasing – improving trend]</w:t>
      </w:r>
    </w:p>
    <w:p w:rsidR="008027E6" w:rsidRPr="004B49F2" w:rsidRDefault="00EC3F8C" w:rsidP="004B49F2">
      <w:pPr>
        <w:pStyle w:val="ListParagraph"/>
        <w:numPr>
          <w:ilvl w:val="0"/>
          <w:numId w:val="3"/>
        </w:numPr>
        <w:tabs>
          <w:tab w:val="left" w:pos="1785"/>
        </w:tabs>
        <w:spacing w:after="0"/>
      </w:pPr>
      <w:r w:rsidRPr="004B49F2">
        <w:t>Knowsley has the 9</w:t>
      </w:r>
      <w:r w:rsidRPr="004B49F2">
        <w:rPr>
          <w:vertAlign w:val="superscript"/>
        </w:rPr>
        <w:t>th</w:t>
      </w:r>
      <w:r w:rsidRPr="004B49F2">
        <w:t xml:space="preserve"> highest rate of children with EHC Plans in England </w:t>
      </w:r>
      <w:r w:rsidR="008027E6" w:rsidRPr="004B49F2">
        <w:t>[a decreasing – improving trend]</w:t>
      </w:r>
    </w:p>
    <w:p w:rsidR="00EC3F8C" w:rsidRPr="00EC3F8C" w:rsidRDefault="00EC3F8C" w:rsidP="00EC3F8C">
      <w:pPr>
        <w:tabs>
          <w:tab w:val="left" w:pos="1785"/>
        </w:tabs>
        <w:rPr>
          <w:rFonts w:ascii="Arial" w:hAnsi="Arial" w:cs="Arial"/>
          <w:sz w:val="24"/>
        </w:rPr>
      </w:pPr>
      <w:r w:rsidRPr="00EC3F8C">
        <w:rPr>
          <w:rFonts w:ascii="Arial" w:hAnsi="Arial" w:cs="Arial"/>
          <w:sz w:val="24"/>
        </w:rPr>
        <w:t xml:space="preserve">Although there have been changes in the numbers of children receiving both SEN Support and EHC Plans in Knowsley and nationally, Knowsley still has a high rate of both kinds of SEND intervention. </w:t>
      </w:r>
    </w:p>
    <w:p w:rsidR="00816158" w:rsidRPr="00850BBD" w:rsidRDefault="00850BBD" w:rsidP="00850BBD">
      <w:pPr>
        <w:tabs>
          <w:tab w:val="left" w:pos="1785"/>
        </w:tabs>
        <w:rPr>
          <w:rFonts w:ascii="Arial" w:hAnsi="Arial" w:cs="Arial"/>
          <w:sz w:val="24"/>
        </w:rPr>
      </w:pPr>
      <w:r w:rsidRPr="00816158">
        <w:rPr>
          <w:rFonts w:ascii="Arial" w:hAnsi="Arial" w:cs="Arial"/>
          <w:b/>
          <w:sz w:val="24"/>
        </w:rPr>
        <w:t>In August 2017</w:t>
      </w:r>
      <w:r w:rsidRPr="00850BBD">
        <w:rPr>
          <w:rFonts w:ascii="Arial" w:hAnsi="Arial" w:cs="Arial"/>
          <w:sz w:val="24"/>
        </w:rPr>
        <w:t xml:space="preserve">, in </w:t>
      </w:r>
      <w:r w:rsidR="001A2CA5" w:rsidRPr="00850BBD">
        <w:rPr>
          <w:rFonts w:ascii="Arial" w:hAnsi="Arial" w:cs="Arial"/>
          <w:sz w:val="24"/>
        </w:rPr>
        <w:t>Knowsley,</w:t>
      </w:r>
      <w:r w:rsidRPr="00850BBD">
        <w:rPr>
          <w:rFonts w:ascii="Arial" w:hAnsi="Arial" w:cs="Arial"/>
          <w:sz w:val="24"/>
        </w:rPr>
        <w:t xml:space="preserve"> there were 10,050 people eligible for disability living </w:t>
      </w:r>
      <w:r w:rsidR="001A2CA5" w:rsidRPr="00850BBD">
        <w:rPr>
          <w:rFonts w:ascii="Arial" w:hAnsi="Arial" w:cs="Arial"/>
          <w:sz w:val="24"/>
        </w:rPr>
        <w:t>allowance;</w:t>
      </w:r>
      <w:r w:rsidRPr="00850BBD">
        <w:rPr>
          <w:rFonts w:ascii="Arial" w:hAnsi="Arial" w:cs="Arial"/>
          <w:sz w:val="24"/>
        </w:rPr>
        <w:t xml:space="preserve"> of these 1,530 were children and young people (0-25)</w:t>
      </w:r>
      <w:r w:rsidR="00816158">
        <w:rPr>
          <w:rFonts w:ascii="Arial" w:hAnsi="Arial" w:cs="Arial"/>
          <w:sz w:val="24"/>
        </w:rPr>
        <w:t>.</w:t>
      </w:r>
      <w:r w:rsidRPr="00850BBD">
        <w:rPr>
          <w:rFonts w:ascii="Arial" w:hAnsi="Arial" w:cs="Arial"/>
          <w:sz w:val="24"/>
        </w:rPr>
        <w:t xml:space="preserve"> </w:t>
      </w:r>
      <w:r w:rsidR="00816158" w:rsidRPr="00816158">
        <w:rPr>
          <w:rFonts w:ascii="Arial" w:hAnsi="Arial" w:cs="Arial"/>
          <w:sz w:val="24"/>
        </w:rPr>
        <w:t xml:space="preserve">Disability Living Allowance (DLA) provides a non-contributory, non means-tested and tax-free contribution towards the disability-related extra costs of severely disabled people who </w:t>
      </w:r>
      <w:r w:rsidR="00961A61">
        <w:rPr>
          <w:rFonts w:ascii="Arial" w:hAnsi="Arial" w:cs="Arial"/>
          <w:sz w:val="24"/>
        </w:rPr>
        <w:t xml:space="preserve">can make a </w:t>
      </w:r>
      <w:r w:rsidR="00816158" w:rsidRPr="00816158">
        <w:rPr>
          <w:rFonts w:ascii="Arial" w:hAnsi="Arial" w:cs="Arial"/>
          <w:sz w:val="24"/>
        </w:rPr>
        <w:t xml:space="preserve">claim </w:t>
      </w:r>
      <w:r w:rsidR="00961A61">
        <w:rPr>
          <w:rFonts w:ascii="Arial" w:hAnsi="Arial" w:cs="Arial"/>
          <w:sz w:val="24"/>
        </w:rPr>
        <w:t xml:space="preserve">for </w:t>
      </w:r>
      <w:r w:rsidR="00816158" w:rsidRPr="00816158">
        <w:rPr>
          <w:rFonts w:ascii="Arial" w:hAnsi="Arial" w:cs="Arial"/>
          <w:sz w:val="24"/>
        </w:rPr>
        <w:t xml:space="preserve">help with those costs before the age of 65. </w:t>
      </w:r>
      <w:r w:rsidRPr="00816158">
        <w:rPr>
          <w:rFonts w:ascii="Arial" w:hAnsi="Arial" w:cs="Arial"/>
          <w:sz w:val="24"/>
        </w:rPr>
        <w:t xml:space="preserve"> </w:t>
      </w:r>
    </w:p>
    <w:tbl>
      <w:tblPr>
        <w:tblStyle w:val="TableGrid"/>
        <w:tblW w:w="0" w:type="auto"/>
        <w:tblLook w:val="04A0" w:firstRow="1" w:lastRow="0" w:firstColumn="1" w:lastColumn="0" w:noHBand="0" w:noVBand="1"/>
      </w:tblPr>
      <w:tblGrid>
        <w:gridCol w:w="1622"/>
        <w:gridCol w:w="1622"/>
        <w:gridCol w:w="1623"/>
        <w:gridCol w:w="1623"/>
        <w:gridCol w:w="1623"/>
        <w:gridCol w:w="1623"/>
      </w:tblGrid>
      <w:tr w:rsidR="00816158" w:rsidTr="00816158">
        <w:tc>
          <w:tcPr>
            <w:tcW w:w="1622" w:type="dxa"/>
          </w:tcPr>
          <w:p w:rsidR="00816158" w:rsidRDefault="00816158" w:rsidP="00850BBD">
            <w:pPr>
              <w:tabs>
                <w:tab w:val="left" w:pos="1785"/>
              </w:tabs>
              <w:rPr>
                <w:rFonts w:ascii="Arial" w:hAnsi="Arial" w:cs="Arial"/>
                <w:sz w:val="24"/>
              </w:rPr>
            </w:pPr>
          </w:p>
        </w:tc>
        <w:tc>
          <w:tcPr>
            <w:tcW w:w="1622" w:type="dxa"/>
          </w:tcPr>
          <w:p w:rsidR="00816158" w:rsidRDefault="00816158" w:rsidP="00850BBD">
            <w:pPr>
              <w:tabs>
                <w:tab w:val="left" w:pos="1785"/>
              </w:tabs>
              <w:rPr>
                <w:rFonts w:ascii="Arial" w:hAnsi="Arial" w:cs="Arial"/>
                <w:sz w:val="24"/>
              </w:rPr>
            </w:pPr>
            <w:r w:rsidRPr="00816158">
              <w:rPr>
                <w:rFonts w:ascii="Arial" w:hAnsi="Arial" w:cs="Arial"/>
                <w:sz w:val="24"/>
              </w:rPr>
              <w:t>Under 5</w:t>
            </w:r>
          </w:p>
        </w:tc>
        <w:tc>
          <w:tcPr>
            <w:tcW w:w="1623" w:type="dxa"/>
          </w:tcPr>
          <w:p w:rsidR="00816158" w:rsidRDefault="00816158" w:rsidP="00850BBD">
            <w:pPr>
              <w:tabs>
                <w:tab w:val="left" w:pos="1785"/>
              </w:tabs>
              <w:rPr>
                <w:rFonts w:ascii="Arial" w:hAnsi="Arial" w:cs="Arial"/>
                <w:sz w:val="24"/>
              </w:rPr>
            </w:pPr>
            <w:r w:rsidRPr="00816158">
              <w:rPr>
                <w:rFonts w:ascii="Arial" w:hAnsi="Arial" w:cs="Arial"/>
                <w:sz w:val="24"/>
              </w:rPr>
              <w:t>5-11</w:t>
            </w:r>
          </w:p>
        </w:tc>
        <w:tc>
          <w:tcPr>
            <w:tcW w:w="1623" w:type="dxa"/>
          </w:tcPr>
          <w:p w:rsidR="00816158" w:rsidRDefault="00816158" w:rsidP="00850BBD">
            <w:pPr>
              <w:tabs>
                <w:tab w:val="left" w:pos="1785"/>
              </w:tabs>
              <w:rPr>
                <w:rFonts w:ascii="Arial" w:hAnsi="Arial" w:cs="Arial"/>
                <w:sz w:val="24"/>
              </w:rPr>
            </w:pPr>
            <w:r w:rsidRPr="00816158">
              <w:rPr>
                <w:rFonts w:ascii="Arial" w:hAnsi="Arial" w:cs="Arial"/>
                <w:sz w:val="24"/>
              </w:rPr>
              <w:t>11-16</w:t>
            </w:r>
          </w:p>
        </w:tc>
        <w:tc>
          <w:tcPr>
            <w:tcW w:w="1623" w:type="dxa"/>
          </w:tcPr>
          <w:p w:rsidR="00816158" w:rsidRDefault="00816158" w:rsidP="00850BBD">
            <w:pPr>
              <w:tabs>
                <w:tab w:val="left" w:pos="1785"/>
              </w:tabs>
              <w:rPr>
                <w:rFonts w:ascii="Arial" w:hAnsi="Arial" w:cs="Arial"/>
                <w:sz w:val="24"/>
              </w:rPr>
            </w:pPr>
            <w:r w:rsidRPr="00816158">
              <w:rPr>
                <w:rFonts w:ascii="Arial" w:hAnsi="Arial" w:cs="Arial"/>
                <w:sz w:val="24"/>
              </w:rPr>
              <w:t>16-17</w:t>
            </w:r>
          </w:p>
        </w:tc>
        <w:tc>
          <w:tcPr>
            <w:tcW w:w="1623" w:type="dxa"/>
          </w:tcPr>
          <w:p w:rsidR="00816158" w:rsidRDefault="00816158" w:rsidP="00850BBD">
            <w:pPr>
              <w:tabs>
                <w:tab w:val="left" w:pos="1785"/>
              </w:tabs>
              <w:rPr>
                <w:rFonts w:ascii="Arial" w:hAnsi="Arial" w:cs="Arial"/>
                <w:sz w:val="24"/>
              </w:rPr>
            </w:pPr>
            <w:r w:rsidRPr="00816158">
              <w:rPr>
                <w:rFonts w:ascii="Arial" w:hAnsi="Arial" w:cs="Arial"/>
                <w:sz w:val="24"/>
              </w:rPr>
              <w:t>18-24</w:t>
            </w:r>
          </w:p>
        </w:tc>
      </w:tr>
      <w:tr w:rsidR="00816158" w:rsidTr="00816158">
        <w:tc>
          <w:tcPr>
            <w:tcW w:w="1622" w:type="dxa"/>
          </w:tcPr>
          <w:p w:rsidR="00816158" w:rsidRDefault="00816158" w:rsidP="00850BBD">
            <w:pPr>
              <w:tabs>
                <w:tab w:val="left" w:pos="1785"/>
              </w:tabs>
              <w:rPr>
                <w:rFonts w:ascii="Arial" w:hAnsi="Arial" w:cs="Arial"/>
                <w:sz w:val="24"/>
              </w:rPr>
            </w:pPr>
            <w:r w:rsidRPr="00816158">
              <w:rPr>
                <w:rFonts w:ascii="Arial" w:hAnsi="Arial" w:cs="Arial"/>
                <w:sz w:val="24"/>
              </w:rPr>
              <w:t>Numbers</w:t>
            </w:r>
          </w:p>
        </w:tc>
        <w:tc>
          <w:tcPr>
            <w:tcW w:w="1622" w:type="dxa"/>
          </w:tcPr>
          <w:p w:rsidR="00816158" w:rsidRDefault="00816158" w:rsidP="00850BBD">
            <w:pPr>
              <w:tabs>
                <w:tab w:val="left" w:pos="1785"/>
              </w:tabs>
              <w:rPr>
                <w:rFonts w:ascii="Arial" w:hAnsi="Arial" w:cs="Arial"/>
                <w:sz w:val="24"/>
              </w:rPr>
            </w:pPr>
            <w:r>
              <w:rPr>
                <w:rFonts w:ascii="Arial" w:hAnsi="Arial" w:cs="Arial"/>
                <w:sz w:val="24"/>
              </w:rPr>
              <w:t>180</w:t>
            </w:r>
          </w:p>
        </w:tc>
        <w:tc>
          <w:tcPr>
            <w:tcW w:w="1623" w:type="dxa"/>
          </w:tcPr>
          <w:p w:rsidR="00816158" w:rsidRDefault="00816158" w:rsidP="00850BBD">
            <w:pPr>
              <w:tabs>
                <w:tab w:val="left" w:pos="1785"/>
              </w:tabs>
              <w:rPr>
                <w:rFonts w:ascii="Arial" w:hAnsi="Arial" w:cs="Arial"/>
                <w:sz w:val="24"/>
              </w:rPr>
            </w:pPr>
            <w:r>
              <w:rPr>
                <w:rFonts w:ascii="Arial" w:hAnsi="Arial" w:cs="Arial"/>
                <w:sz w:val="24"/>
              </w:rPr>
              <w:t>590</w:t>
            </w:r>
          </w:p>
        </w:tc>
        <w:tc>
          <w:tcPr>
            <w:tcW w:w="1623" w:type="dxa"/>
          </w:tcPr>
          <w:p w:rsidR="00816158" w:rsidRDefault="00816158" w:rsidP="00850BBD">
            <w:pPr>
              <w:tabs>
                <w:tab w:val="left" w:pos="1785"/>
              </w:tabs>
              <w:rPr>
                <w:rFonts w:ascii="Arial" w:hAnsi="Arial" w:cs="Arial"/>
                <w:sz w:val="24"/>
              </w:rPr>
            </w:pPr>
            <w:r>
              <w:rPr>
                <w:rFonts w:ascii="Arial" w:hAnsi="Arial" w:cs="Arial"/>
                <w:sz w:val="24"/>
              </w:rPr>
              <w:t>530</w:t>
            </w:r>
          </w:p>
        </w:tc>
        <w:tc>
          <w:tcPr>
            <w:tcW w:w="1623" w:type="dxa"/>
          </w:tcPr>
          <w:p w:rsidR="00816158" w:rsidRDefault="00816158" w:rsidP="00850BBD">
            <w:pPr>
              <w:tabs>
                <w:tab w:val="left" w:pos="1785"/>
              </w:tabs>
              <w:rPr>
                <w:rFonts w:ascii="Arial" w:hAnsi="Arial" w:cs="Arial"/>
                <w:sz w:val="24"/>
              </w:rPr>
            </w:pPr>
            <w:r>
              <w:rPr>
                <w:rFonts w:ascii="Arial" w:hAnsi="Arial" w:cs="Arial"/>
                <w:sz w:val="24"/>
              </w:rPr>
              <w:t>50</w:t>
            </w:r>
          </w:p>
        </w:tc>
        <w:tc>
          <w:tcPr>
            <w:tcW w:w="1623" w:type="dxa"/>
          </w:tcPr>
          <w:p w:rsidR="00816158" w:rsidRDefault="00816158" w:rsidP="00850BBD">
            <w:pPr>
              <w:tabs>
                <w:tab w:val="left" w:pos="1785"/>
              </w:tabs>
              <w:rPr>
                <w:rFonts w:ascii="Arial" w:hAnsi="Arial" w:cs="Arial"/>
                <w:sz w:val="24"/>
              </w:rPr>
            </w:pPr>
            <w:r>
              <w:rPr>
                <w:rFonts w:ascii="Arial" w:hAnsi="Arial" w:cs="Arial"/>
                <w:sz w:val="24"/>
              </w:rPr>
              <w:t>180</w:t>
            </w:r>
          </w:p>
        </w:tc>
      </w:tr>
    </w:tbl>
    <w:p w:rsidR="00BE42A8" w:rsidRPr="00BE42A8" w:rsidRDefault="00BE42A8" w:rsidP="00BE42A8">
      <w:pPr>
        <w:tabs>
          <w:tab w:val="left" w:pos="1785"/>
        </w:tabs>
        <w:spacing w:before="240"/>
        <w:rPr>
          <w:rFonts w:ascii="Arial" w:hAnsi="Arial" w:cs="Arial"/>
          <w:sz w:val="24"/>
        </w:rPr>
      </w:pPr>
      <w:r w:rsidRPr="00BE42A8">
        <w:rPr>
          <w:rFonts w:ascii="Arial" w:hAnsi="Arial" w:cs="Arial"/>
          <w:sz w:val="24"/>
        </w:rPr>
        <w:t>This marks an overall reduction in children and young people eligible for DLA since 2010, which is mainly due to the change to Personal Independent Payments for those over 16. However, there is an identifiable increase of children aged 0 to 11 years old eligible for DLA in 2017, which will affect provision in future years</w:t>
      </w:r>
      <w:r w:rsidR="00ED5D16">
        <w:rPr>
          <w:rFonts w:ascii="Arial" w:hAnsi="Arial" w:cs="Arial"/>
          <w:sz w:val="24"/>
        </w:rPr>
        <w:t>.</w:t>
      </w:r>
    </w:p>
    <w:p w:rsidR="00850BBD" w:rsidRPr="00850BBD" w:rsidRDefault="00850BBD" w:rsidP="00850BBD">
      <w:pPr>
        <w:tabs>
          <w:tab w:val="left" w:pos="1785"/>
        </w:tabs>
        <w:rPr>
          <w:rFonts w:ascii="Arial" w:hAnsi="Arial" w:cs="Arial"/>
          <w:sz w:val="24"/>
        </w:rPr>
      </w:pPr>
    </w:p>
    <w:p w:rsidR="00ED5D16" w:rsidRPr="001E6299" w:rsidRDefault="00ED5D16" w:rsidP="001E6299">
      <w:pPr>
        <w:pBdr>
          <w:top w:val="single" w:sz="4" w:space="1" w:color="auto"/>
          <w:left w:val="single" w:sz="4" w:space="4" w:color="auto"/>
          <w:bottom w:val="single" w:sz="4" w:space="1" w:color="auto"/>
          <w:right w:val="single" w:sz="4" w:space="4" w:color="auto"/>
        </w:pBdr>
        <w:tabs>
          <w:tab w:val="left" w:pos="1785"/>
        </w:tabs>
        <w:rPr>
          <w:rFonts w:ascii="Arial" w:hAnsi="Arial" w:cs="Arial"/>
          <w:b/>
          <w:sz w:val="24"/>
        </w:rPr>
      </w:pPr>
      <w:r w:rsidRPr="001E6299">
        <w:rPr>
          <w:rFonts w:ascii="Arial" w:hAnsi="Arial" w:cs="Arial"/>
          <w:b/>
          <w:sz w:val="24"/>
        </w:rPr>
        <w:t>Our intentions</w:t>
      </w:r>
    </w:p>
    <w:p w:rsidR="001E6299" w:rsidRPr="001E6299" w:rsidRDefault="001E6299" w:rsidP="001E6299">
      <w:pPr>
        <w:shd w:val="clear" w:color="auto" w:fill="D9E2F3" w:themeFill="accent5" w:themeFillTint="33"/>
        <w:tabs>
          <w:tab w:val="left" w:pos="1785"/>
        </w:tabs>
        <w:rPr>
          <w:rFonts w:ascii="Arial" w:hAnsi="Arial" w:cs="Arial"/>
          <w:sz w:val="24"/>
        </w:rPr>
      </w:pPr>
      <w:r w:rsidRPr="001E6299">
        <w:rPr>
          <w:rFonts w:ascii="Arial" w:hAnsi="Arial" w:cs="Arial"/>
          <w:sz w:val="24"/>
        </w:rPr>
        <w:t>Knowsley</w:t>
      </w:r>
      <w:r w:rsidR="00961A61">
        <w:rPr>
          <w:rFonts w:ascii="Arial" w:hAnsi="Arial" w:cs="Arial"/>
          <w:sz w:val="24"/>
        </w:rPr>
        <w:t xml:space="preserve"> is an inclusive borough and</w:t>
      </w:r>
      <w:r w:rsidRPr="001E6299">
        <w:rPr>
          <w:rFonts w:ascii="Arial" w:hAnsi="Arial" w:cs="Arial"/>
          <w:sz w:val="24"/>
        </w:rPr>
        <w:t xml:space="preserve"> </w:t>
      </w:r>
      <w:r w:rsidRPr="001E6299">
        <w:rPr>
          <w:rFonts w:ascii="Arial" w:hAnsi="Arial" w:cs="Arial"/>
          <w:b/>
          <w:sz w:val="24"/>
        </w:rPr>
        <w:t>our vision is that all children and young people have the best start in life, thrive, aim high and achieve their potentia</w:t>
      </w:r>
      <w:r w:rsidRPr="001E6299">
        <w:rPr>
          <w:rFonts w:ascii="Arial" w:hAnsi="Arial" w:cs="Arial"/>
          <w:sz w:val="24"/>
        </w:rPr>
        <w:t xml:space="preserve">l and naturally, we want the same for those children and young people who have Special Educational Needs and Disabilities (SEND). </w:t>
      </w:r>
      <w:r>
        <w:rPr>
          <w:rFonts w:ascii="Arial" w:hAnsi="Arial" w:cs="Arial"/>
          <w:sz w:val="24"/>
        </w:rPr>
        <w:t xml:space="preserve"> </w:t>
      </w:r>
    </w:p>
    <w:p w:rsidR="001E6299" w:rsidRDefault="001E6299" w:rsidP="001E6299">
      <w:pPr>
        <w:pStyle w:val="ListParagraph"/>
        <w:numPr>
          <w:ilvl w:val="0"/>
          <w:numId w:val="2"/>
        </w:numPr>
        <w:tabs>
          <w:tab w:val="left" w:pos="1785"/>
        </w:tabs>
        <w:spacing w:line="276" w:lineRule="auto"/>
      </w:pPr>
      <w:r>
        <w:t xml:space="preserve">We will improve outcomes for those with SEND [achievement at school, employment, health, happy and fulfilled lives]. </w:t>
      </w:r>
    </w:p>
    <w:p w:rsidR="00ED5D16" w:rsidRPr="001E6299" w:rsidRDefault="00ED5D16" w:rsidP="001E6299">
      <w:pPr>
        <w:pStyle w:val="ListParagraph"/>
        <w:numPr>
          <w:ilvl w:val="0"/>
          <w:numId w:val="2"/>
        </w:numPr>
        <w:tabs>
          <w:tab w:val="left" w:pos="284"/>
          <w:tab w:val="left" w:pos="1785"/>
        </w:tabs>
        <w:spacing w:line="276" w:lineRule="auto"/>
      </w:pPr>
      <w:r w:rsidRPr="001E6299">
        <w:lastRenderedPageBreak/>
        <w:t xml:space="preserve"> </w:t>
      </w:r>
      <w:r w:rsidR="001E6299" w:rsidRPr="001E6299">
        <w:t>C</w:t>
      </w:r>
      <w:r w:rsidR="00961A61">
        <w:t xml:space="preserve">hild and young people will live, grow up, learn and participate in </w:t>
      </w:r>
      <w:r w:rsidR="001E6299" w:rsidRPr="001E6299">
        <w:t xml:space="preserve">their local community. They will attend local schools </w:t>
      </w:r>
      <w:r w:rsidR="00961A61">
        <w:t xml:space="preserve">and provisions </w:t>
      </w:r>
      <w:r w:rsidR="001E6299" w:rsidRPr="001E6299">
        <w:t>whenever possible and in al</w:t>
      </w:r>
      <w:r w:rsidR="00961A61">
        <w:t>l but exceptional circumstances.</w:t>
      </w:r>
    </w:p>
    <w:p w:rsidR="001E6299" w:rsidRPr="001E6299" w:rsidRDefault="00ED5D16" w:rsidP="001E6299">
      <w:pPr>
        <w:pStyle w:val="ListParagraph"/>
        <w:numPr>
          <w:ilvl w:val="0"/>
          <w:numId w:val="2"/>
        </w:numPr>
        <w:tabs>
          <w:tab w:val="left" w:pos="1785"/>
        </w:tabs>
        <w:spacing w:line="276" w:lineRule="auto"/>
      </w:pPr>
      <w:r w:rsidRPr="001E6299">
        <w:t>Our education provision is inclusive and most pupils with SEND will be educated within the mainstream sector</w:t>
      </w:r>
    </w:p>
    <w:p w:rsidR="00ED5D16" w:rsidRPr="001E6299" w:rsidRDefault="00ED5D16" w:rsidP="001E6299">
      <w:pPr>
        <w:pStyle w:val="ListParagraph"/>
        <w:numPr>
          <w:ilvl w:val="0"/>
          <w:numId w:val="2"/>
        </w:numPr>
        <w:tabs>
          <w:tab w:val="left" w:pos="1785"/>
        </w:tabs>
        <w:spacing w:line="276" w:lineRule="auto"/>
      </w:pPr>
      <w:r w:rsidRPr="001E6299">
        <w:t>Our housing providers will support our aspiration</w:t>
      </w:r>
      <w:r w:rsidR="001E6299">
        <w:t>s</w:t>
      </w:r>
      <w:r w:rsidRPr="001E6299">
        <w:t xml:space="preserve"> for children and young people to live in their local community</w:t>
      </w:r>
    </w:p>
    <w:p w:rsidR="00ED5D16" w:rsidRPr="001E6299" w:rsidRDefault="00ED5D16" w:rsidP="001E6299">
      <w:pPr>
        <w:pStyle w:val="ListParagraph"/>
        <w:numPr>
          <w:ilvl w:val="0"/>
          <w:numId w:val="2"/>
        </w:numPr>
        <w:tabs>
          <w:tab w:val="left" w:pos="1785"/>
        </w:tabs>
        <w:spacing w:line="276" w:lineRule="auto"/>
      </w:pPr>
      <w:r w:rsidRPr="001E6299">
        <w:t>Local employers will provide workplace training and supported employment opportunities for our young people with SEND</w:t>
      </w:r>
    </w:p>
    <w:p w:rsidR="00ED5D16" w:rsidRDefault="00ED5D16" w:rsidP="001E6299">
      <w:pPr>
        <w:pStyle w:val="ListParagraph"/>
        <w:numPr>
          <w:ilvl w:val="0"/>
          <w:numId w:val="2"/>
        </w:numPr>
        <w:tabs>
          <w:tab w:val="left" w:pos="1785"/>
        </w:tabs>
        <w:spacing w:line="276" w:lineRule="auto"/>
      </w:pPr>
      <w:r w:rsidRPr="001E6299">
        <w:t xml:space="preserve">Communities will provide the support and opportunities </w:t>
      </w:r>
      <w:r w:rsidR="001E6299">
        <w:t xml:space="preserve">needed </w:t>
      </w:r>
      <w:r w:rsidRPr="001E6299">
        <w:t>for those with SEND to join in social and leisure activities and groups of their choice. The council will ensure that facilities are accessible. Knowsley will introduce a scheme to enable l</w:t>
      </w:r>
      <w:r w:rsidR="00961A61">
        <w:t>ocal shopkeepers to offer a ’saf</w:t>
      </w:r>
      <w:r w:rsidRPr="001E6299">
        <w:t>e space’ if someone with SEND needs help.</w:t>
      </w:r>
    </w:p>
    <w:p w:rsidR="001E6299" w:rsidRDefault="001E6299" w:rsidP="001E6299">
      <w:pPr>
        <w:pStyle w:val="ListParagraph"/>
        <w:numPr>
          <w:ilvl w:val="0"/>
          <w:numId w:val="2"/>
        </w:numPr>
        <w:tabs>
          <w:tab w:val="left" w:pos="1785"/>
        </w:tabs>
        <w:spacing w:line="276" w:lineRule="auto"/>
      </w:pPr>
      <w:r>
        <w:t>We will prepare children and young people for as independent an adult life as possible</w:t>
      </w:r>
      <w:r w:rsidR="00961A61">
        <w:t xml:space="preserve"> providing as much</w:t>
      </w:r>
      <w:r>
        <w:t xml:space="preserve"> support </w:t>
      </w:r>
      <w:r w:rsidR="00961A61">
        <w:t xml:space="preserve">as possible </w:t>
      </w:r>
      <w:r w:rsidR="001A2CA5">
        <w:t xml:space="preserve">for as long as </w:t>
      </w:r>
      <w:r>
        <w:t>needed</w:t>
      </w:r>
      <w:r w:rsidR="00923A61">
        <w:t xml:space="preserve"> without developing a dependency. We </w:t>
      </w:r>
      <w:r w:rsidR="00961A61">
        <w:t>will</w:t>
      </w:r>
      <w:r w:rsidR="00923A61">
        <w:t xml:space="preserve"> achieve this through the Thrive approach</w:t>
      </w:r>
      <w:r w:rsidR="00961A61">
        <w:t>.</w:t>
      </w:r>
    </w:p>
    <w:p w:rsidR="00923A61" w:rsidRDefault="00961A61" w:rsidP="001E6299">
      <w:pPr>
        <w:pStyle w:val="ListParagraph"/>
        <w:numPr>
          <w:ilvl w:val="0"/>
          <w:numId w:val="2"/>
        </w:numPr>
        <w:tabs>
          <w:tab w:val="left" w:pos="1785"/>
        </w:tabs>
        <w:spacing w:line="276" w:lineRule="auto"/>
      </w:pPr>
      <w:r>
        <w:t xml:space="preserve">We will adopt an effective </w:t>
      </w:r>
      <w:r w:rsidR="00923A61">
        <w:t xml:space="preserve">‘front door’ for extra help and support </w:t>
      </w:r>
      <w:r>
        <w:t>adopting a ‘tell it once’ approach and i</w:t>
      </w:r>
      <w:r w:rsidR="00923A61">
        <w:t>f needs and eligibility change they pick up where they left off</w:t>
      </w:r>
      <w:r w:rsidR="00F31304">
        <w:t>, without having to start the whole assessment process from the beginning of the process</w:t>
      </w:r>
    </w:p>
    <w:p w:rsidR="00923A61" w:rsidRDefault="00A769EB" w:rsidP="001E6299">
      <w:pPr>
        <w:pStyle w:val="ListParagraph"/>
        <w:numPr>
          <w:ilvl w:val="0"/>
          <w:numId w:val="2"/>
        </w:numPr>
        <w:tabs>
          <w:tab w:val="left" w:pos="1785"/>
        </w:tabs>
        <w:spacing w:line="276" w:lineRule="auto"/>
      </w:pPr>
      <w:r>
        <w:t>We</w:t>
      </w:r>
      <w:r w:rsidR="00923A61">
        <w:t xml:space="preserve"> will ensure that there is fair and equal access to </w:t>
      </w:r>
      <w:r w:rsidR="00F31304">
        <w:t>resources and provision within the available allocated funding</w:t>
      </w:r>
    </w:p>
    <w:p w:rsidR="00923A61" w:rsidRDefault="00923A61" w:rsidP="001E6299">
      <w:pPr>
        <w:pStyle w:val="ListParagraph"/>
        <w:numPr>
          <w:ilvl w:val="0"/>
          <w:numId w:val="2"/>
        </w:numPr>
        <w:tabs>
          <w:tab w:val="left" w:pos="1785"/>
        </w:tabs>
        <w:spacing w:line="276" w:lineRule="auto"/>
      </w:pPr>
      <w:r>
        <w:t xml:space="preserve">We will be clear about what additional and different [extra] support looks like and who these services are intended for </w:t>
      </w:r>
    </w:p>
    <w:p w:rsidR="00607A60" w:rsidRDefault="00923A61" w:rsidP="00607A60">
      <w:pPr>
        <w:pStyle w:val="ListParagraph"/>
        <w:numPr>
          <w:ilvl w:val="0"/>
          <w:numId w:val="2"/>
        </w:numPr>
        <w:tabs>
          <w:tab w:val="left" w:pos="1785"/>
        </w:tabs>
        <w:spacing w:line="276" w:lineRule="auto"/>
      </w:pPr>
      <w:r>
        <w:t xml:space="preserve">We </w:t>
      </w:r>
      <w:r w:rsidR="00607A60">
        <w:t xml:space="preserve">will increase choice and control by developing more options; for those with the most complex level of need we will continue to develop </w:t>
      </w:r>
      <w:r w:rsidR="00F31304">
        <w:t xml:space="preserve">bespoke </w:t>
      </w:r>
      <w:r w:rsidR="00607A60">
        <w:t>packages, increasing the use of personal budgets [learning from our</w:t>
      </w:r>
      <w:r w:rsidR="00F31304">
        <w:t xml:space="preserve"> experience of </w:t>
      </w:r>
      <w:r w:rsidR="00607A60">
        <w:t>personalised health budgets, direct care payments, and adult personal budgets</w:t>
      </w:r>
    </w:p>
    <w:p w:rsidR="00607A60" w:rsidRDefault="00607A60" w:rsidP="00607A60">
      <w:pPr>
        <w:pStyle w:val="ListParagraph"/>
        <w:numPr>
          <w:ilvl w:val="0"/>
          <w:numId w:val="2"/>
        </w:numPr>
        <w:tabs>
          <w:tab w:val="left" w:pos="1785"/>
        </w:tabs>
        <w:spacing w:line="276" w:lineRule="auto"/>
      </w:pPr>
      <w:r>
        <w:t>We will engage children/young people in all decision making about the services they receive. We will develop a children/young people SEND Forum and collaborate with them to reach as many children/young people as possible in our planning and review at strategic [whole system] level</w:t>
      </w:r>
    </w:p>
    <w:p w:rsidR="00607A60" w:rsidRDefault="00607A60" w:rsidP="00607A60">
      <w:pPr>
        <w:pStyle w:val="ListParagraph"/>
        <w:numPr>
          <w:ilvl w:val="0"/>
          <w:numId w:val="2"/>
        </w:numPr>
        <w:tabs>
          <w:tab w:val="left" w:pos="1785"/>
        </w:tabs>
        <w:spacing w:line="276" w:lineRule="auto"/>
      </w:pPr>
      <w:r>
        <w:t>We will engage parents/carers in all decision making about the services they receive. We will formalise work with the parent/carer form [Knowsley Parent/Carer Voice] and collaborate with them to reach as many parents/carers as possible in our planning and review at strategic [whole system] level</w:t>
      </w:r>
    </w:p>
    <w:p w:rsidR="00607A60" w:rsidRDefault="00607A60" w:rsidP="00607A60">
      <w:pPr>
        <w:pStyle w:val="ListParagraph"/>
        <w:numPr>
          <w:ilvl w:val="0"/>
          <w:numId w:val="2"/>
        </w:numPr>
        <w:tabs>
          <w:tab w:val="left" w:pos="1785"/>
        </w:tabs>
        <w:spacing w:line="276" w:lineRule="auto"/>
      </w:pPr>
      <w:r>
        <w:t xml:space="preserve">We will ensure </w:t>
      </w:r>
      <w:r w:rsidR="00992247">
        <w:t xml:space="preserve">there is </w:t>
      </w:r>
      <w:r>
        <w:t xml:space="preserve">leadership at every level through a robust </w:t>
      </w:r>
      <w:r w:rsidR="00992247">
        <w:t xml:space="preserve">governance structure that provides a link from the frontline to elected members and Chief Executives [LA and CCG] </w:t>
      </w:r>
    </w:p>
    <w:p w:rsidR="00280C2E" w:rsidRPr="001E6299" w:rsidRDefault="00280C2E" w:rsidP="00280C2E">
      <w:pPr>
        <w:tabs>
          <w:tab w:val="left" w:pos="1785"/>
        </w:tabs>
        <w:spacing w:line="276" w:lineRule="auto"/>
      </w:pPr>
    </w:p>
    <w:p w:rsidR="00850BBD" w:rsidRPr="00850BBD" w:rsidRDefault="00850BBD" w:rsidP="00850BBD">
      <w:pPr>
        <w:tabs>
          <w:tab w:val="left" w:pos="1785"/>
        </w:tabs>
        <w:rPr>
          <w:rFonts w:ascii="Arial" w:hAnsi="Arial" w:cs="Arial"/>
          <w:sz w:val="24"/>
        </w:rPr>
      </w:pPr>
      <w:r w:rsidRPr="00850BBD">
        <w:rPr>
          <w:rFonts w:ascii="Arial" w:hAnsi="Arial" w:cs="Arial"/>
          <w:sz w:val="24"/>
        </w:rPr>
        <w:t xml:space="preserve">                                                      </w:t>
      </w:r>
    </w:p>
    <w:p w:rsidR="00850BBD" w:rsidRPr="00673762" w:rsidRDefault="00673762" w:rsidP="00673762">
      <w:pPr>
        <w:pBdr>
          <w:top w:val="single" w:sz="4" w:space="1" w:color="auto"/>
          <w:left w:val="single" w:sz="4" w:space="4" w:color="auto"/>
          <w:bottom w:val="single" w:sz="4" w:space="1" w:color="auto"/>
          <w:right w:val="single" w:sz="4" w:space="4" w:color="auto"/>
        </w:pBdr>
        <w:tabs>
          <w:tab w:val="left" w:pos="1785"/>
        </w:tabs>
        <w:rPr>
          <w:rFonts w:ascii="Arial" w:hAnsi="Arial" w:cs="Arial"/>
          <w:b/>
          <w:sz w:val="24"/>
        </w:rPr>
      </w:pPr>
      <w:r w:rsidRPr="00673762">
        <w:rPr>
          <w:rFonts w:ascii="Arial" w:hAnsi="Arial" w:cs="Arial"/>
          <w:b/>
          <w:sz w:val="24"/>
        </w:rPr>
        <w:lastRenderedPageBreak/>
        <w:t>Policy into Practice</w:t>
      </w:r>
    </w:p>
    <w:p w:rsidR="00850BBD" w:rsidRPr="00850BBD" w:rsidRDefault="00850BBD" w:rsidP="00850BBD">
      <w:pPr>
        <w:tabs>
          <w:tab w:val="left" w:pos="1785"/>
        </w:tabs>
        <w:rPr>
          <w:rFonts w:ascii="Arial" w:hAnsi="Arial" w:cs="Arial"/>
          <w:sz w:val="24"/>
        </w:rPr>
      </w:pPr>
    </w:p>
    <w:p w:rsidR="00850BBD" w:rsidRDefault="00673762" w:rsidP="00850BBD">
      <w:pPr>
        <w:tabs>
          <w:tab w:val="left" w:pos="1785"/>
        </w:tabs>
        <w:rPr>
          <w:rFonts w:ascii="Arial" w:hAnsi="Arial" w:cs="Arial"/>
          <w:sz w:val="24"/>
        </w:rPr>
      </w:pPr>
      <w:r>
        <w:rPr>
          <w:rFonts w:ascii="Arial" w:hAnsi="Arial" w:cs="Arial"/>
          <w:sz w:val="24"/>
        </w:rPr>
        <w:t xml:space="preserve">This policy </w:t>
      </w:r>
      <w:r w:rsidR="008027E6">
        <w:rPr>
          <w:rFonts w:ascii="Arial" w:hAnsi="Arial" w:cs="Arial"/>
          <w:sz w:val="24"/>
        </w:rPr>
        <w:t>is</w:t>
      </w:r>
      <w:r>
        <w:rPr>
          <w:rFonts w:ascii="Arial" w:hAnsi="Arial" w:cs="Arial"/>
          <w:sz w:val="24"/>
        </w:rPr>
        <w:t xml:space="preserve"> implemented through a number of strategic plans</w:t>
      </w:r>
    </w:p>
    <w:p w:rsidR="00673762" w:rsidRDefault="00673762" w:rsidP="00850BBD">
      <w:pPr>
        <w:tabs>
          <w:tab w:val="left" w:pos="1785"/>
        </w:tabs>
        <w:rPr>
          <w:rFonts w:ascii="Arial" w:hAnsi="Arial" w:cs="Arial"/>
          <w:sz w:val="24"/>
        </w:rPr>
      </w:pPr>
      <w:r>
        <w:rPr>
          <w:rFonts w:ascii="Arial" w:hAnsi="Arial" w:cs="Arial"/>
          <w:sz w:val="24"/>
        </w:rPr>
        <w:t>Knowsley SEND Strategy 2018-2021</w:t>
      </w:r>
    </w:p>
    <w:p w:rsidR="00673762" w:rsidRDefault="00673762" w:rsidP="00850BBD">
      <w:pPr>
        <w:tabs>
          <w:tab w:val="left" w:pos="1785"/>
        </w:tabs>
        <w:rPr>
          <w:rFonts w:ascii="Arial" w:hAnsi="Arial" w:cs="Arial"/>
          <w:sz w:val="24"/>
        </w:rPr>
      </w:pPr>
      <w:r>
        <w:rPr>
          <w:rFonts w:ascii="Arial" w:hAnsi="Arial" w:cs="Arial"/>
          <w:sz w:val="24"/>
        </w:rPr>
        <w:t>Knowsley Joint Commissioning Strategy 2018-2021</w:t>
      </w:r>
    </w:p>
    <w:p w:rsidR="00673762" w:rsidRDefault="00673762" w:rsidP="00850BBD">
      <w:pPr>
        <w:tabs>
          <w:tab w:val="left" w:pos="1785"/>
        </w:tabs>
        <w:rPr>
          <w:rFonts w:ascii="Arial" w:hAnsi="Arial" w:cs="Arial"/>
          <w:sz w:val="24"/>
        </w:rPr>
      </w:pPr>
      <w:r>
        <w:rPr>
          <w:rFonts w:ascii="Arial" w:hAnsi="Arial" w:cs="Arial"/>
          <w:sz w:val="24"/>
        </w:rPr>
        <w:t>Knowsley Accessibility Strategy 2018-2021</w:t>
      </w:r>
    </w:p>
    <w:p w:rsidR="00850BBD" w:rsidRDefault="00850BBD" w:rsidP="00850BBD">
      <w:pPr>
        <w:tabs>
          <w:tab w:val="left" w:pos="1785"/>
        </w:tabs>
        <w:rPr>
          <w:rFonts w:ascii="Arial" w:hAnsi="Arial" w:cs="Arial"/>
          <w:sz w:val="24"/>
        </w:rPr>
      </w:pPr>
      <w:r w:rsidRPr="00850BBD">
        <w:rPr>
          <w:rFonts w:ascii="Arial" w:hAnsi="Arial" w:cs="Arial"/>
          <w:sz w:val="24"/>
        </w:rPr>
        <w:t xml:space="preserve">  </w:t>
      </w:r>
    </w:p>
    <w:p w:rsidR="000246A9" w:rsidRPr="000246A9" w:rsidRDefault="000246A9" w:rsidP="000246A9">
      <w:pPr>
        <w:pBdr>
          <w:top w:val="single" w:sz="4" w:space="1" w:color="auto"/>
          <w:left w:val="single" w:sz="4" w:space="4" w:color="auto"/>
          <w:bottom w:val="single" w:sz="4" w:space="1" w:color="auto"/>
          <w:right w:val="single" w:sz="4" w:space="4" w:color="auto"/>
        </w:pBdr>
        <w:tabs>
          <w:tab w:val="left" w:pos="1785"/>
        </w:tabs>
        <w:rPr>
          <w:rFonts w:ascii="Arial" w:hAnsi="Arial" w:cs="Arial"/>
          <w:b/>
          <w:sz w:val="24"/>
        </w:rPr>
      </w:pPr>
      <w:r w:rsidRPr="000246A9">
        <w:rPr>
          <w:rFonts w:ascii="Arial" w:hAnsi="Arial" w:cs="Arial"/>
          <w:b/>
          <w:sz w:val="24"/>
        </w:rPr>
        <w:t xml:space="preserve">Review </w:t>
      </w:r>
    </w:p>
    <w:p w:rsidR="000246A9" w:rsidRDefault="000246A9" w:rsidP="00850BBD">
      <w:pPr>
        <w:tabs>
          <w:tab w:val="left" w:pos="1785"/>
        </w:tabs>
        <w:rPr>
          <w:rFonts w:ascii="Arial" w:hAnsi="Arial" w:cs="Arial"/>
          <w:sz w:val="24"/>
        </w:rPr>
      </w:pPr>
    </w:p>
    <w:p w:rsidR="000246A9" w:rsidRDefault="00026B1F" w:rsidP="00850BBD">
      <w:pPr>
        <w:tabs>
          <w:tab w:val="left" w:pos="1785"/>
        </w:tabs>
        <w:rPr>
          <w:rFonts w:ascii="Arial" w:hAnsi="Arial" w:cs="Arial"/>
          <w:sz w:val="24"/>
        </w:rPr>
      </w:pPr>
      <w:r>
        <w:rPr>
          <w:rFonts w:ascii="Arial" w:hAnsi="Arial" w:cs="Arial"/>
          <w:sz w:val="24"/>
        </w:rPr>
        <w:t>The SEND Partnership Board will review this policy</w:t>
      </w:r>
      <w:r w:rsidR="000246A9">
        <w:rPr>
          <w:rFonts w:ascii="Arial" w:hAnsi="Arial" w:cs="Arial"/>
          <w:sz w:val="24"/>
        </w:rPr>
        <w:t xml:space="preserve"> </w:t>
      </w:r>
      <w:r w:rsidR="008027E6">
        <w:rPr>
          <w:rFonts w:ascii="Arial" w:hAnsi="Arial" w:cs="Arial"/>
          <w:sz w:val="24"/>
        </w:rPr>
        <w:t xml:space="preserve">on a </w:t>
      </w:r>
      <w:r w:rsidR="001A2CA5">
        <w:rPr>
          <w:rFonts w:ascii="Arial" w:hAnsi="Arial" w:cs="Arial"/>
          <w:sz w:val="24"/>
        </w:rPr>
        <w:t>three-year</w:t>
      </w:r>
      <w:r w:rsidR="008027E6">
        <w:rPr>
          <w:rFonts w:ascii="Arial" w:hAnsi="Arial" w:cs="Arial"/>
          <w:sz w:val="24"/>
        </w:rPr>
        <w:t xml:space="preserve"> cycle</w:t>
      </w:r>
    </w:p>
    <w:p w:rsidR="000246A9" w:rsidRPr="00850BBD" w:rsidRDefault="000246A9" w:rsidP="00850BBD">
      <w:pPr>
        <w:tabs>
          <w:tab w:val="left" w:pos="1785"/>
        </w:tabs>
        <w:rPr>
          <w:rFonts w:ascii="Arial" w:hAnsi="Arial" w:cs="Arial"/>
          <w:sz w:val="24"/>
        </w:rPr>
      </w:pPr>
      <w:r>
        <w:rPr>
          <w:rFonts w:ascii="Arial" w:hAnsi="Arial" w:cs="Arial"/>
          <w:sz w:val="24"/>
        </w:rPr>
        <w:t>This Board comprises stakeholders and partners working with and representing our SEND population.</w:t>
      </w:r>
    </w:p>
    <w:sectPr w:rsidR="000246A9" w:rsidRPr="00850BBD" w:rsidSect="00280C2E">
      <w:headerReference w:type="default" r:id="rId14"/>
      <w:footerReference w:type="default" r:id="rId15"/>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435" w:rsidRDefault="00547435" w:rsidP="0067251A">
      <w:pPr>
        <w:spacing w:after="0" w:line="240" w:lineRule="auto"/>
      </w:pPr>
      <w:r>
        <w:separator/>
      </w:r>
    </w:p>
  </w:endnote>
  <w:endnote w:type="continuationSeparator" w:id="0">
    <w:p w:rsidR="00547435" w:rsidRDefault="00547435" w:rsidP="00672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247" w:rsidRDefault="00992247">
    <w:pPr>
      <w:pStyle w:val="Footer"/>
    </w:pPr>
    <w:r>
      <w:t xml:space="preserve">V0.1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435" w:rsidRDefault="00547435" w:rsidP="0067251A">
      <w:pPr>
        <w:spacing w:after="0" w:line="240" w:lineRule="auto"/>
      </w:pPr>
      <w:r>
        <w:separator/>
      </w:r>
    </w:p>
  </w:footnote>
  <w:footnote w:type="continuationSeparator" w:id="0">
    <w:p w:rsidR="00547435" w:rsidRDefault="00547435" w:rsidP="0067251A">
      <w:pPr>
        <w:spacing w:after="0" w:line="240" w:lineRule="auto"/>
      </w:pPr>
      <w:r>
        <w:continuationSeparator/>
      </w:r>
    </w:p>
  </w:footnote>
  <w:footnote w:id="1">
    <w:p w:rsidR="008734D7" w:rsidRDefault="008734D7">
      <w:pPr>
        <w:pStyle w:val="FootnoteText"/>
      </w:pPr>
      <w:r>
        <w:rPr>
          <w:rStyle w:val="FootnoteReference"/>
        </w:rPr>
        <w:footnoteRef/>
      </w:r>
      <w:r>
        <w:t xml:space="preserve"> Thrive </w:t>
      </w:r>
      <w:r w:rsidR="008027E6">
        <w:t>– Timely, Helpful, Respectful, Innovative, Values-based, Efficient. The right support at the right time to help them thrive.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51A" w:rsidRPr="0067251A" w:rsidRDefault="00547435" w:rsidP="0067251A">
    <w:pPr>
      <w:pStyle w:val="Header"/>
      <w:shd w:val="clear" w:color="auto" w:fill="D9E2F3" w:themeFill="accent5" w:themeFillTint="33"/>
      <w:jc w:val="center"/>
      <w:rPr>
        <w:b/>
        <w:sz w:val="28"/>
      </w:rPr>
    </w:pPr>
    <w:sdt>
      <w:sdtPr>
        <w:rPr>
          <w:b/>
          <w:sz w:val="28"/>
        </w:rPr>
        <w:id w:val="-935139857"/>
        <w:docPartObj>
          <w:docPartGallery w:val="Watermarks"/>
          <w:docPartUnique/>
        </w:docPartObj>
      </w:sdtPr>
      <w:sdtEndPr/>
      <w:sdtContent>
        <w:r>
          <w:rPr>
            <w:b/>
            <w:noProof/>
            <w:sz w:val="28"/>
            <w:lang w:val="en-US"/>
          </w:rPr>
          <w:pict w14:anchorId="553C5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7251A" w:rsidRPr="0067251A">
      <w:rPr>
        <w:b/>
        <w:sz w:val="28"/>
      </w:rPr>
      <w:t>Knowsley – SEND Policy 2018-2021</w:t>
    </w:r>
  </w:p>
  <w:p w:rsidR="0067251A" w:rsidRDefault="00672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715C"/>
    <w:multiLevelType w:val="hybridMultilevel"/>
    <w:tmpl w:val="36DC1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3723B82"/>
    <w:multiLevelType w:val="multilevel"/>
    <w:tmpl w:val="33B05EEA"/>
    <w:lvl w:ilvl="0">
      <w:start w:val="1"/>
      <w:numFmt w:val="decimal"/>
      <w:lvlText w:val="%1."/>
      <w:lvlJc w:val="left"/>
      <w:pPr>
        <w:ind w:left="10"/>
      </w:pPr>
      <w:rPr>
        <w:b w:val="0"/>
        <w:i w:val="0"/>
        <w:strike w:val="0"/>
        <w:dstrike w:val="0"/>
        <w:color w:val="000000"/>
        <w:sz w:val="24"/>
        <w:szCs w:val="20"/>
        <w:u w:val="none" w:color="000000"/>
        <w:bdr w:val="none" w:sz="0" w:space="0" w:color="auto"/>
        <w:shd w:val="clear" w:color="auto" w:fill="auto"/>
        <w:vertAlign w:val="baseline"/>
      </w:rPr>
    </w:lvl>
    <w:lvl w:ilvl="1">
      <w:start w:val="2"/>
      <w:numFmt w:val="decimal"/>
      <w:isLgl/>
      <w:lvlText w:val="%1.%2"/>
      <w:lvlJc w:val="left"/>
      <w:pPr>
        <w:ind w:left="370" w:hanging="36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1090" w:hanging="108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450" w:hanging="144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810" w:hanging="1800"/>
      </w:pPr>
      <w:rPr>
        <w:rFonts w:hint="default"/>
      </w:rPr>
    </w:lvl>
    <w:lvl w:ilvl="8">
      <w:start w:val="1"/>
      <w:numFmt w:val="decimal"/>
      <w:isLgl/>
      <w:lvlText w:val="%1.%2.%3.%4.%5.%6.%7.%8.%9"/>
      <w:lvlJc w:val="left"/>
      <w:pPr>
        <w:ind w:left="1810" w:hanging="1800"/>
      </w:pPr>
      <w:rPr>
        <w:rFonts w:hint="default"/>
      </w:rPr>
    </w:lvl>
  </w:abstractNum>
  <w:abstractNum w:abstractNumId="2" w15:restartNumberingAfterBreak="0">
    <w:nsid w:val="692216B3"/>
    <w:multiLevelType w:val="hybridMultilevel"/>
    <w:tmpl w:val="437E83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D06"/>
    <w:rsid w:val="000246A9"/>
    <w:rsid w:val="00026B1F"/>
    <w:rsid w:val="00070C62"/>
    <w:rsid w:val="001A2CA5"/>
    <w:rsid w:val="001E6299"/>
    <w:rsid w:val="00280C2E"/>
    <w:rsid w:val="00411D06"/>
    <w:rsid w:val="004B49F2"/>
    <w:rsid w:val="00547435"/>
    <w:rsid w:val="005A7D5F"/>
    <w:rsid w:val="00607A60"/>
    <w:rsid w:val="0067251A"/>
    <w:rsid w:val="00673762"/>
    <w:rsid w:val="0068604C"/>
    <w:rsid w:val="006C3FCB"/>
    <w:rsid w:val="0078765A"/>
    <w:rsid w:val="007B45EE"/>
    <w:rsid w:val="008027E6"/>
    <w:rsid w:val="00816158"/>
    <w:rsid w:val="00850BBD"/>
    <w:rsid w:val="008734D7"/>
    <w:rsid w:val="00893A9E"/>
    <w:rsid w:val="008C2ABA"/>
    <w:rsid w:val="00923A61"/>
    <w:rsid w:val="00961A61"/>
    <w:rsid w:val="009741E2"/>
    <w:rsid w:val="00992247"/>
    <w:rsid w:val="009C1D2C"/>
    <w:rsid w:val="00A769EB"/>
    <w:rsid w:val="00BE2801"/>
    <w:rsid w:val="00BE42A8"/>
    <w:rsid w:val="00E10865"/>
    <w:rsid w:val="00E20D1B"/>
    <w:rsid w:val="00E823E8"/>
    <w:rsid w:val="00EC3F8C"/>
    <w:rsid w:val="00ED21BC"/>
    <w:rsid w:val="00ED5D16"/>
    <w:rsid w:val="00F31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B59FC0B-62AF-4BEC-B71D-27C5D49B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11D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11D0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11D06"/>
    <w:pPr>
      <w:spacing w:after="4" w:line="270" w:lineRule="auto"/>
      <w:ind w:left="720" w:right="591" w:hanging="10"/>
      <w:contextualSpacing/>
    </w:pPr>
    <w:rPr>
      <w:rFonts w:ascii="Arial" w:eastAsia="Arial" w:hAnsi="Arial" w:cs="Arial"/>
      <w:color w:val="000000"/>
      <w:sz w:val="24"/>
      <w:lang w:eastAsia="en-GB"/>
    </w:rPr>
  </w:style>
  <w:style w:type="paragraph" w:styleId="Header">
    <w:name w:val="header"/>
    <w:basedOn w:val="Normal"/>
    <w:link w:val="HeaderChar"/>
    <w:uiPriority w:val="99"/>
    <w:unhideWhenUsed/>
    <w:rsid w:val="00672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51A"/>
  </w:style>
  <w:style w:type="paragraph" w:styleId="Footer">
    <w:name w:val="footer"/>
    <w:basedOn w:val="Normal"/>
    <w:link w:val="FooterChar"/>
    <w:uiPriority w:val="99"/>
    <w:unhideWhenUsed/>
    <w:rsid w:val="00672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51A"/>
  </w:style>
  <w:style w:type="table" w:styleId="TableGrid">
    <w:name w:val="Table Grid"/>
    <w:basedOn w:val="TableNormal"/>
    <w:uiPriority w:val="39"/>
    <w:rsid w:val="00850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3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762"/>
    <w:rPr>
      <w:rFonts w:ascii="Segoe UI" w:hAnsi="Segoe UI" w:cs="Segoe UI"/>
      <w:sz w:val="18"/>
      <w:szCs w:val="18"/>
    </w:rPr>
  </w:style>
  <w:style w:type="character" w:styleId="CommentReference">
    <w:name w:val="annotation reference"/>
    <w:basedOn w:val="DefaultParagraphFont"/>
    <w:uiPriority w:val="99"/>
    <w:semiHidden/>
    <w:unhideWhenUsed/>
    <w:rsid w:val="00961A61"/>
    <w:rPr>
      <w:sz w:val="16"/>
      <w:szCs w:val="16"/>
    </w:rPr>
  </w:style>
  <w:style w:type="paragraph" w:styleId="CommentText">
    <w:name w:val="annotation text"/>
    <w:basedOn w:val="Normal"/>
    <w:link w:val="CommentTextChar"/>
    <w:uiPriority w:val="99"/>
    <w:semiHidden/>
    <w:unhideWhenUsed/>
    <w:rsid w:val="00961A61"/>
    <w:pPr>
      <w:spacing w:line="240" w:lineRule="auto"/>
    </w:pPr>
    <w:rPr>
      <w:sz w:val="20"/>
      <w:szCs w:val="20"/>
    </w:rPr>
  </w:style>
  <w:style w:type="character" w:customStyle="1" w:styleId="CommentTextChar">
    <w:name w:val="Comment Text Char"/>
    <w:basedOn w:val="DefaultParagraphFont"/>
    <w:link w:val="CommentText"/>
    <w:uiPriority w:val="99"/>
    <w:semiHidden/>
    <w:rsid w:val="00961A61"/>
    <w:rPr>
      <w:sz w:val="20"/>
      <w:szCs w:val="20"/>
    </w:rPr>
  </w:style>
  <w:style w:type="paragraph" w:styleId="CommentSubject">
    <w:name w:val="annotation subject"/>
    <w:basedOn w:val="CommentText"/>
    <w:next w:val="CommentText"/>
    <w:link w:val="CommentSubjectChar"/>
    <w:uiPriority w:val="99"/>
    <w:semiHidden/>
    <w:unhideWhenUsed/>
    <w:rsid w:val="00961A61"/>
    <w:rPr>
      <w:b/>
      <w:bCs/>
    </w:rPr>
  </w:style>
  <w:style w:type="character" w:customStyle="1" w:styleId="CommentSubjectChar">
    <w:name w:val="Comment Subject Char"/>
    <w:basedOn w:val="CommentTextChar"/>
    <w:link w:val="CommentSubject"/>
    <w:uiPriority w:val="99"/>
    <w:semiHidden/>
    <w:rsid w:val="00961A61"/>
    <w:rPr>
      <w:b/>
      <w:bCs/>
      <w:sz w:val="20"/>
      <w:szCs w:val="20"/>
    </w:rPr>
  </w:style>
  <w:style w:type="paragraph" w:styleId="FootnoteText">
    <w:name w:val="footnote text"/>
    <w:basedOn w:val="Normal"/>
    <w:link w:val="FootnoteTextChar"/>
    <w:uiPriority w:val="99"/>
    <w:semiHidden/>
    <w:unhideWhenUsed/>
    <w:rsid w:val="008734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34D7"/>
    <w:rPr>
      <w:sz w:val="20"/>
      <w:szCs w:val="20"/>
    </w:rPr>
  </w:style>
  <w:style w:type="character" w:styleId="FootnoteReference">
    <w:name w:val="footnote reference"/>
    <w:basedOn w:val="DefaultParagraphFont"/>
    <w:uiPriority w:val="99"/>
    <w:semiHidden/>
    <w:unhideWhenUsed/>
    <w:rsid w:val="008734D7"/>
    <w:rPr>
      <w:vertAlign w:val="superscript"/>
    </w:rPr>
  </w:style>
  <w:style w:type="paragraph" w:styleId="NoSpacing">
    <w:name w:val="No Spacing"/>
    <w:link w:val="NoSpacingChar"/>
    <w:uiPriority w:val="1"/>
    <w:qFormat/>
    <w:rsid w:val="00280C2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80C2E"/>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180AEAFAF2240929D94517FDDB2B0D4"/>
        <w:category>
          <w:name w:val="General"/>
          <w:gallery w:val="placeholder"/>
        </w:category>
        <w:types>
          <w:type w:val="bbPlcHdr"/>
        </w:types>
        <w:behaviors>
          <w:behavior w:val="content"/>
        </w:behaviors>
        <w:guid w:val="{BD75FBA5-E34E-4303-900C-FB82D3D11554}"/>
      </w:docPartPr>
      <w:docPartBody>
        <w:p w:rsidR="008E0793" w:rsidRDefault="00035DBC" w:rsidP="00035DBC">
          <w:pPr>
            <w:pStyle w:val="D180AEAFAF2240929D94517FDDB2B0D4"/>
          </w:pPr>
          <w:r>
            <w:rPr>
              <w:rFonts w:asciiTheme="majorHAnsi" w:eastAsiaTheme="majorEastAsia" w:hAnsiTheme="majorHAnsi" w:cstheme="majorBidi"/>
              <w:color w:val="5B9BD5" w:themeColor="accent1"/>
              <w:sz w:val="88"/>
              <w:szCs w:val="88"/>
            </w:rPr>
            <w:t>[Document title]</w:t>
          </w:r>
        </w:p>
      </w:docPartBody>
    </w:docPart>
    <w:docPart>
      <w:docPartPr>
        <w:name w:val="8ED020C26F5848858F6931CBA6700CA5"/>
        <w:category>
          <w:name w:val="General"/>
          <w:gallery w:val="placeholder"/>
        </w:category>
        <w:types>
          <w:type w:val="bbPlcHdr"/>
        </w:types>
        <w:behaviors>
          <w:behavior w:val="content"/>
        </w:behaviors>
        <w:guid w:val="{18029598-8503-4F5D-BB5A-5EF141845A5F}"/>
      </w:docPartPr>
      <w:docPartBody>
        <w:p w:rsidR="008E0793" w:rsidRDefault="00035DBC" w:rsidP="00035DBC">
          <w:pPr>
            <w:pStyle w:val="8ED020C26F5848858F6931CBA6700CA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DBC"/>
    <w:rsid w:val="00035DBC"/>
    <w:rsid w:val="001366C2"/>
    <w:rsid w:val="00824E67"/>
    <w:rsid w:val="008E0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B017B7E17A479C84213AE1DEE6D4FF">
    <w:name w:val="F2B017B7E17A479C84213AE1DEE6D4FF"/>
    <w:rsid w:val="00035DBC"/>
  </w:style>
  <w:style w:type="paragraph" w:customStyle="1" w:styleId="D180AEAFAF2240929D94517FDDB2B0D4">
    <w:name w:val="D180AEAFAF2240929D94517FDDB2B0D4"/>
    <w:rsid w:val="00035DBC"/>
  </w:style>
  <w:style w:type="paragraph" w:customStyle="1" w:styleId="8ED020C26F5848858F6931CBA6700CA5">
    <w:name w:val="8ED020C26F5848858F6931CBA6700CA5"/>
    <w:rsid w:val="00035DBC"/>
  </w:style>
  <w:style w:type="paragraph" w:customStyle="1" w:styleId="074D3A7515A146879133DBDBEF6D0766">
    <w:name w:val="074D3A7515A146879133DBDBEF6D0766"/>
    <w:rsid w:val="00035DBC"/>
  </w:style>
  <w:style w:type="paragraph" w:customStyle="1" w:styleId="300D9D03892441DD819493E3CE90CA36">
    <w:name w:val="300D9D03892441DD819493E3CE90CA36"/>
    <w:rsid w:val="00035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2610a33-0298-4da0-85e8-7aa28ace60cf"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01D85C8C5406246ABA0B7965550277B" ma:contentTypeVersion="0" ma:contentTypeDescription="Create a new document." ma:contentTypeScope="" ma:versionID="edc667d7df696950d5d8ffd984b4d358">
  <xsd:schema xmlns:xsd="http://www.w3.org/2001/XMLSchema" xmlns:xs="http://www.w3.org/2001/XMLSchema" xmlns:p="http://schemas.microsoft.com/office/2006/metadata/properties" xmlns:ns2="4d457631-ab95-4de4-9872-c5835971fbfe" targetNamespace="http://schemas.microsoft.com/office/2006/metadata/properties" ma:root="true" ma:fieldsID="62a8be0d1cb3d2abce7a0f49336407b0" ns2:_="">
    <xsd:import namespace="4d457631-ab95-4de4-9872-c5835971fb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57631-ab95-4de4-9872-c5835971fb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4d457631-ab95-4de4-9872-c5835971fbfe">5FYX3A4TW6UT-1392236058-265</_dlc_DocId>
    <_dlc_DocIdUrl xmlns="4d457631-ab95-4de4-9872-c5835971fbfe">
      <Url>https://sp.knowsley.gov.uk/sites/SEND/_layouts/15/DocIdRedir.aspx?ID=5FYX3A4TW6UT-1392236058-265</Url>
      <Description>5FYX3A4TW6UT-1392236058-265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1A7EA-EFBD-422E-B458-C3417D6AC22D}">
  <ds:schemaRefs>
    <ds:schemaRef ds:uri="http://schemas.microsoft.com/sharepoint/events"/>
  </ds:schemaRefs>
</ds:datastoreItem>
</file>

<file path=customXml/itemProps2.xml><?xml version="1.0" encoding="utf-8"?>
<ds:datastoreItem xmlns:ds="http://schemas.openxmlformats.org/officeDocument/2006/customXml" ds:itemID="{79E93FE2-3BF1-4EE4-8A15-5EB38E194B2F}">
  <ds:schemaRefs>
    <ds:schemaRef ds:uri="Microsoft.SharePoint.Taxonomy.ContentTypeSync"/>
  </ds:schemaRefs>
</ds:datastoreItem>
</file>

<file path=customXml/itemProps3.xml><?xml version="1.0" encoding="utf-8"?>
<ds:datastoreItem xmlns:ds="http://schemas.openxmlformats.org/officeDocument/2006/customXml" ds:itemID="{85E7905B-F40C-4B75-82BC-2FDDD55B0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57631-ab95-4de4-9872-c5835971f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EB4D8-3413-4086-A67D-7C88DD1FB545}">
  <ds:schemaRefs>
    <ds:schemaRef ds:uri="http://schemas.microsoft.com/office/2006/metadata/properties"/>
    <ds:schemaRef ds:uri="http://schemas.microsoft.com/office/infopath/2007/PartnerControls"/>
    <ds:schemaRef ds:uri="4d457631-ab95-4de4-9872-c5835971fbfe"/>
  </ds:schemaRefs>
</ds:datastoreItem>
</file>

<file path=customXml/itemProps5.xml><?xml version="1.0" encoding="utf-8"?>
<ds:datastoreItem xmlns:ds="http://schemas.openxmlformats.org/officeDocument/2006/customXml" ds:itemID="{BAEDD5AB-A7AF-4496-9BC7-00D6E2B4D2C6}">
  <ds:schemaRefs>
    <ds:schemaRef ds:uri="http://schemas.microsoft.com/sharepoint/v3/contenttype/forms"/>
  </ds:schemaRefs>
</ds:datastoreItem>
</file>

<file path=customXml/itemProps6.xml><?xml version="1.0" encoding="utf-8"?>
<ds:datastoreItem xmlns:ds="http://schemas.openxmlformats.org/officeDocument/2006/customXml" ds:itemID="{6A289DD1-65AD-4905-B627-DBD291F7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Knowsley                       Joint SEND Policy</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Knowsley                       Joint SEND Policy</dc:title>
  <dc:subject>2018-2021</dc:subject>
  <dc:creator>Wright, Lesley</dc:creator>
  <cp:keywords/>
  <dc:description/>
  <cp:lastModifiedBy>Waite, Joyce</cp:lastModifiedBy>
  <cp:revision>2</cp:revision>
  <cp:lastPrinted>2018-10-25T09:04:00Z</cp:lastPrinted>
  <dcterms:created xsi:type="dcterms:W3CDTF">2018-10-25T10:56:00Z</dcterms:created>
  <dcterms:modified xsi:type="dcterms:W3CDTF">2018-10-25T10:56:00Z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0x010100501D85C8C5406246ABA0B7965550277B</vt:lpwstr>
  </property>
  <property fmtid="{D5CDD505-2E9C-101B-9397-08002B2CF9AE}" pid="3" name="_dlc_DocIdItemGuid">
    <vt:lpwstr>2af98637-f3fa-4693-b3ea-b09341058cf1</vt:lpwstr>
  </property>
</Properties>
</file>