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5C39" w14:textId="21A17B69" w:rsidR="000C012D" w:rsidRDefault="00310A46" w:rsidP="007535B6">
      <w:pPr>
        <w:jc w:val="center"/>
        <w:rPr>
          <w:b/>
          <w:bCs/>
          <w:sz w:val="32"/>
          <w:szCs w:val="32"/>
          <w:u w:val="single"/>
        </w:rPr>
      </w:pPr>
      <w:r w:rsidRPr="007535B6">
        <w:rPr>
          <w:b/>
          <w:bCs/>
          <w:sz w:val="32"/>
          <w:szCs w:val="32"/>
          <w:u w:val="single"/>
        </w:rPr>
        <w:t>Hospital and Home Tuition Service Policy</w:t>
      </w:r>
    </w:p>
    <w:p w14:paraId="1266019C" w14:textId="77777777" w:rsidR="007535B6" w:rsidRPr="007535B6" w:rsidRDefault="007535B6" w:rsidP="007535B6">
      <w:pPr>
        <w:jc w:val="center"/>
        <w:rPr>
          <w:b/>
          <w:bCs/>
          <w:sz w:val="32"/>
          <w:szCs w:val="32"/>
          <w:u w:val="single"/>
        </w:rPr>
      </w:pPr>
    </w:p>
    <w:p w14:paraId="5427C574" w14:textId="0F948868" w:rsidR="00BD1AAE" w:rsidRDefault="00847184">
      <w:r>
        <w:t xml:space="preserve">This policy follows the </w:t>
      </w:r>
      <w:r w:rsidR="00BD1AAE">
        <w:t>information</w:t>
      </w:r>
      <w:r>
        <w:t xml:space="preserve"> laid out in </w:t>
      </w:r>
      <w:r w:rsidR="00BD1AAE">
        <w:t>the DoE statutory guidance for local authorities:</w:t>
      </w:r>
    </w:p>
    <w:p w14:paraId="3BBCABCA" w14:textId="53CFF9F4" w:rsidR="00847184" w:rsidRDefault="00BD1AAE">
      <w:r>
        <w:t xml:space="preserve"> </w:t>
      </w:r>
      <w:r w:rsidR="00847184">
        <w:t>“</w:t>
      </w:r>
      <w:r w:rsidR="00890BB4">
        <w:t>Arranging education for children who cannot attend school because of health needs 2023</w:t>
      </w:r>
      <w:r w:rsidR="00847184">
        <w:t>”</w:t>
      </w:r>
      <w:r w:rsidR="00310A46">
        <w:t xml:space="preserve"> </w:t>
      </w:r>
    </w:p>
    <w:p w14:paraId="4040BA7D" w14:textId="7CF5B9CE" w:rsidR="00310A46" w:rsidRDefault="00000000" w:rsidP="00DA0AD4">
      <w:pPr>
        <w:spacing w:line="360" w:lineRule="auto"/>
      </w:pPr>
      <w:hyperlink r:id="rId5" w:history="1">
        <w:r w:rsidR="00847184">
          <w:rPr>
            <w:rStyle w:val="Hyperlink"/>
          </w:rPr>
          <w:t>Additional health needs guidance (publishing.service.gov.uk)</w:t>
        </w:r>
      </w:hyperlink>
      <w:r w:rsidR="00DA0AD4">
        <w:t xml:space="preserve"> </w:t>
      </w:r>
      <w:r w:rsidR="00D337F4">
        <w:t xml:space="preserve">which references </w:t>
      </w:r>
      <w:r w:rsidR="00DA0AD4">
        <w:t xml:space="preserve">Section 19 of the Education Act 1996 and </w:t>
      </w:r>
      <w:r w:rsidR="00D337F4">
        <w:t xml:space="preserve">The </w:t>
      </w:r>
      <w:r w:rsidR="00DA0AD4">
        <w:t>Equality Act 2010.</w:t>
      </w:r>
    </w:p>
    <w:p w14:paraId="60E13D6C" w14:textId="77777777" w:rsidR="00FD577B" w:rsidRPr="00FD577B" w:rsidRDefault="00FD577B" w:rsidP="00BD1AAE">
      <w:pPr>
        <w:spacing w:line="360" w:lineRule="auto"/>
        <w:rPr>
          <w:b/>
          <w:bCs/>
          <w:u w:val="single"/>
        </w:rPr>
      </w:pPr>
      <w:r w:rsidRPr="00FD577B">
        <w:rPr>
          <w:b/>
          <w:bCs/>
          <w:u w:val="single"/>
        </w:rPr>
        <w:t>Overview</w:t>
      </w:r>
    </w:p>
    <w:p w14:paraId="045C5597" w14:textId="4DD0A3EB" w:rsidR="00BD1AAE" w:rsidRDefault="00BD1AAE" w:rsidP="00BD1AAE">
      <w:pPr>
        <w:spacing w:line="360" w:lineRule="auto"/>
      </w:pPr>
      <w:r>
        <w:t xml:space="preserve">The Government’s policy intention is that all children, regardless of circumstance or setting should receive a good education to enable them to shape their own futures. </w:t>
      </w:r>
      <w:r w:rsidR="002E3D3C">
        <w:t>Therefore,</w:t>
      </w:r>
      <w:r>
        <w:t xml:space="preserve"> alternative provision and the framework surrounding it should offer good quality education on par with that of mainstream schooling, along with the support pupils need to overcome barriers to attainment. This support should meet a pupil’s individual needs, including social and emotional needs, and enable them to thrive and prosper in the education system. </w:t>
      </w:r>
    </w:p>
    <w:p w14:paraId="358DECA8" w14:textId="33FC54B3" w:rsidR="00BD1AAE" w:rsidRDefault="00BD1AAE" w:rsidP="00BD1AAE">
      <w:pPr>
        <w:spacing w:line="360" w:lineRule="auto"/>
      </w:pPr>
      <w:r>
        <w:t>This is statutory guidance from the Department for Education. Local authorities (LAs) must have regard to it when carrying out their duty to arrange suitable full-time education (or part</w:t>
      </w:r>
      <w:r w:rsidR="00F01516">
        <w:t xml:space="preserve"> </w:t>
      </w:r>
      <w:r>
        <w:t xml:space="preserve">time when appropriate for the child’s needs) for children who are unable to attend a mainstream or special school because of their health. This duty applies to all children and young people who would normally attend mainstream schools, including Academies, Free Schools, independent schools and special schools, or where a child is not on the roll of a school. It applies equally whether a child cannot attend school at all or can only attend intermittently. </w:t>
      </w:r>
    </w:p>
    <w:p w14:paraId="6EB9CCAA" w14:textId="7876B963" w:rsidR="00BD1AAE" w:rsidRDefault="00BD1AAE" w:rsidP="00BD1AAE">
      <w:pPr>
        <w:spacing w:line="360" w:lineRule="auto"/>
      </w:pPr>
      <w:r>
        <w:t xml:space="preserve">LAs are responsible for arranging suitable full-time education for children who – because of illness  – would not receive suitable education without such provision. This means that where a child cannot attend school because of health problems, and would not otherwise receive a suitable full-time education, the LA is responsible for arranging provision. </w:t>
      </w:r>
    </w:p>
    <w:p w14:paraId="2B9E8D0D" w14:textId="394E064A" w:rsidR="00E56A09" w:rsidRDefault="00BD1AAE" w:rsidP="00435C5A">
      <w:pPr>
        <w:spacing w:line="360" w:lineRule="auto"/>
      </w:pPr>
      <w:r>
        <w:t xml:space="preserve">There will be a wide range of circumstances where a child has a health need but will receive suitable education that meets their needs without the intervention of the LA – for example, where the child can still attend school with some support; where the school has made arrangements to deliver suitable education outside of school for the child; or where arrangements have been made for the child to be educated in a hospital by an on-site hospital school. </w:t>
      </w:r>
      <w:r w:rsidR="00CB55B6">
        <w:t xml:space="preserve">The DoE </w:t>
      </w:r>
      <w:r>
        <w:t xml:space="preserve">would not expect the LA to become involved in such arrangements unless it had reason to think that the education being provided to the child was not suitable or, while otherwise suitable, was not full-time or for the </w:t>
      </w:r>
      <w:r>
        <w:lastRenderedPageBreak/>
        <w:t>number of hours the child could benefit from without adversely affecting their health. This might be the case where, for example, the child can attend school but only intermittently.</w:t>
      </w:r>
    </w:p>
    <w:p w14:paraId="09D94183" w14:textId="77777777" w:rsidR="00EC63E0" w:rsidRPr="00EC63E0" w:rsidRDefault="002C508D" w:rsidP="00310A46">
      <w:pPr>
        <w:rPr>
          <w:b/>
          <w:bCs/>
          <w:sz w:val="24"/>
          <w:szCs w:val="24"/>
          <w:u w:val="single"/>
        </w:rPr>
      </w:pPr>
      <w:r w:rsidRPr="00EC63E0">
        <w:rPr>
          <w:b/>
          <w:bCs/>
          <w:sz w:val="24"/>
          <w:szCs w:val="24"/>
          <w:u w:val="single"/>
        </w:rPr>
        <w:t>The Local Authority Stat</w:t>
      </w:r>
      <w:r w:rsidR="00EC63E0" w:rsidRPr="00EC63E0">
        <w:rPr>
          <w:b/>
          <w:bCs/>
          <w:sz w:val="24"/>
          <w:szCs w:val="24"/>
          <w:u w:val="single"/>
        </w:rPr>
        <w:t>utory Duties</w:t>
      </w:r>
    </w:p>
    <w:p w14:paraId="610612F8" w14:textId="77777777" w:rsidR="00EC63E0" w:rsidRDefault="00EC63E0" w:rsidP="00310A46">
      <w:pPr>
        <w:rPr>
          <w:b/>
          <w:bCs/>
          <w:u w:val="single"/>
        </w:rPr>
      </w:pPr>
    </w:p>
    <w:p w14:paraId="2B4C3E5F" w14:textId="65924AFF" w:rsidR="00310A46" w:rsidRPr="00435C5A" w:rsidRDefault="005C2793" w:rsidP="00310A46">
      <w:pPr>
        <w:rPr>
          <w:b/>
          <w:bCs/>
          <w:u w:val="single"/>
        </w:rPr>
      </w:pPr>
      <w:r>
        <w:rPr>
          <w:b/>
          <w:bCs/>
          <w:u w:val="single"/>
        </w:rPr>
        <w:t xml:space="preserve">Knowsley </w:t>
      </w:r>
      <w:r w:rsidR="00310A46" w:rsidRPr="00435C5A">
        <w:rPr>
          <w:b/>
          <w:bCs/>
          <w:u w:val="single"/>
        </w:rPr>
        <w:t>Local authorit</w:t>
      </w:r>
      <w:r>
        <w:rPr>
          <w:b/>
          <w:bCs/>
          <w:u w:val="single"/>
        </w:rPr>
        <w:t>y</w:t>
      </w:r>
      <w:r w:rsidR="00310A46" w:rsidRPr="00435C5A">
        <w:rPr>
          <w:b/>
          <w:bCs/>
          <w:u w:val="single"/>
        </w:rPr>
        <w:t xml:space="preserve"> </w:t>
      </w:r>
      <w:r w:rsidR="007456BA">
        <w:rPr>
          <w:b/>
          <w:bCs/>
          <w:u w:val="single"/>
        </w:rPr>
        <w:t>will</w:t>
      </w:r>
      <w:r w:rsidR="00310A46" w:rsidRPr="00435C5A">
        <w:rPr>
          <w:b/>
          <w:bCs/>
          <w:u w:val="single"/>
        </w:rPr>
        <w:t>:</w:t>
      </w:r>
    </w:p>
    <w:p w14:paraId="55D08A47" w14:textId="16D3B415" w:rsidR="00310A46" w:rsidRDefault="00310A46" w:rsidP="00536C64">
      <w:pPr>
        <w:spacing w:line="360" w:lineRule="auto"/>
      </w:pPr>
      <w:r>
        <w:t>Arrange suitable full-time education (or as much education as the child’s health condition allows) for children of compulsory school age who, because of illness, would otherwise not receive suitable education.</w:t>
      </w:r>
    </w:p>
    <w:p w14:paraId="0DA87F9F" w14:textId="759E0C65" w:rsidR="00310A46" w:rsidRDefault="002E3D3C" w:rsidP="00536C64">
      <w:pPr>
        <w:spacing w:line="360" w:lineRule="auto"/>
      </w:pPr>
      <w:r>
        <w:t xml:space="preserve">LA’s must </w:t>
      </w:r>
      <w:r w:rsidR="00322138">
        <w:t xml:space="preserve">ensure the </w:t>
      </w:r>
      <w:r>
        <w:t>p</w:t>
      </w:r>
      <w:r w:rsidR="00310A46">
        <w:t>rovi</w:t>
      </w:r>
      <w:r w:rsidR="00322138">
        <w:t>sion of</w:t>
      </w:r>
      <w:r w:rsidR="00310A46">
        <w:t xml:space="preserve"> such education as soon as it is clear that the child will be away from school for 15</w:t>
      </w:r>
      <w:r>
        <w:t xml:space="preserve"> </w:t>
      </w:r>
      <w:r w:rsidR="00310A46">
        <w:t xml:space="preserve">days or more, whether consecutive or cumulative. </w:t>
      </w:r>
      <w:r w:rsidR="00446B71">
        <w:t xml:space="preserve">Schools need to </w:t>
      </w:r>
      <w:r w:rsidR="00154CD5">
        <w:t xml:space="preserve">notify the LA </w:t>
      </w:r>
      <w:r w:rsidR="00BA1762">
        <w:t>by contacting</w:t>
      </w:r>
      <w:r w:rsidR="005B13CD">
        <w:t xml:space="preserve"> </w:t>
      </w:r>
      <w:r w:rsidR="00BA1762">
        <w:t>the Hospital and Home Tuition Service Manager</w:t>
      </w:r>
      <w:r w:rsidR="005B13CD">
        <w:t xml:space="preserve"> when they </w:t>
      </w:r>
      <w:r w:rsidR="00F24235">
        <w:t xml:space="preserve">believe </w:t>
      </w:r>
      <w:r w:rsidR="00BA1762">
        <w:t xml:space="preserve">that </w:t>
      </w:r>
      <w:r w:rsidR="008C63AF">
        <w:t xml:space="preserve">a student will be exceeding the 15 day </w:t>
      </w:r>
      <w:r w:rsidR="002B2333">
        <w:t xml:space="preserve">absence point. </w:t>
      </w:r>
      <w:r w:rsidR="00310A46">
        <w:t>They should liaise with appropriate medical professionals to ensure minimal delay in arranging appropriate provision for the child.</w:t>
      </w:r>
    </w:p>
    <w:p w14:paraId="2D72BB7D" w14:textId="055521AC" w:rsidR="009D559D" w:rsidRDefault="009D559D" w:rsidP="009D559D">
      <w:pPr>
        <w:spacing w:line="360" w:lineRule="auto"/>
      </w:pPr>
      <w:r>
        <w:t>From 19/08/24 it is a statutory requirement for schools to inform the LA of all children with 15 days on Sickness absence be that in a block or separate periods</w:t>
      </w:r>
      <w:r w:rsidR="00473E83">
        <w:t xml:space="preserve"> under the </w:t>
      </w:r>
      <w:r>
        <w:t>new Statutory Guidance for Attendance</w:t>
      </w:r>
      <w:r w:rsidR="00473E83">
        <w:t>.</w:t>
      </w:r>
      <w:r w:rsidR="00AE5B86">
        <w:t xml:space="preserve"> This states:</w:t>
      </w:r>
    </w:p>
    <w:p w14:paraId="059E0D40" w14:textId="258F7C02" w:rsidR="009D559D" w:rsidRDefault="009D559D" w:rsidP="009D559D">
      <w:pPr>
        <w:spacing w:line="360" w:lineRule="auto"/>
        <w:rPr>
          <w:i/>
          <w:iCs/>
        </w:rPr>
      </w:pPr>
      <w:r w:rsidRPr="00AE5B86">
        <w:rPr>
          <w:i/>
          <w:iCs/>
        </w:rPr>
        <w:t>Sickness returns: providing the local authority with the full name and address of all pupils of compulsory school age who have been recorded with code I (illness) and who the school has reasonable grounds to believe will miss 15 days consecutively or cumulatively because of sickness. Only one sickness return is required for a continuous period of sickness in a school year. This is to help the school and local authority to agree any provision needed to ensure continuity of education for pupils who cannot attend because of health needs, in line with the statutory guidance on education for children with health needs who cannot attend school.</w:t>
      </w:r>
    </w:p>
    <w:p w14:paraId="075F3F6E" w14:textId="77777777" w:rsidR="005A3132" w:rsidRPr="00AE5B86" w:rsidRDefault="005A3132" w:rsidP="009D559D">
      <w:pPr>
        <w:spacing w:line="360" w:lineRule="auto"/>
        <w:rPr>
          <w:i/>
          <w:iCs/>
        </w:rPr>
      </w:pPr>
    </w:p>
    <w:p w14:paraId="400DE548" w14:textId="77777777" w:rsidR="007C0204" w:rsidRPr="007C0204" w:rsidRDefault="007C0204" w:rsidP="00536C64">
      <w:pPr>
        <w:spacing w:line="360" w:lineRule="auto"/>
        <w:rPr>
          <w:b/>
          <w:bCs/>
          <w:sz w:val="24"/>
          <w:szCs w:val="24"/>
          <w:u w:val="single"/>
        </w:rPr>
      </w:pPr>
      <w:r w:rsidRPr="007C0204">
        <w:rPr>
          <w:b/>
          <w:bCs/>
          <w:sz w:val="24"/>
          <w:szCs w:val="24"/>
          <w:u w:val="single"/>
        </w:rPr>
        <w:t>How to Refer</w:t>
      </w:r>
    </w:p>
    <w:p w14:paraId="659E8545" w14:textId="77777777" w:rsidR="009A3DCA" w:rsidRDefault="007C0204" w:rsidP="00536C64">
      <w:pPr>
        <w:spacing w:line="360" w:lineRule="auto"/>
      </w:pPr>
      <w:r>
        <w:t>To refer</w:t>
      </w:r>
      <w:r w:rsidR="00E9508F">
        <w:t xml:space="preserve">, the </w:t>
      </w:r>
      <w:r w:rsidR="008D55A5">
        <w:t xml:space="preserve">school needs to complete </w:t>
      </w:r>
      <w:r w:rsidR="00B507A3">
        <w:t>the referral forms</w:t>
      </w:r>
      <w:r w:rsidR="00E9508F">
        <w:t xml:space="preserve"> and </w:t>
      </w:r>
      <w:r w:rsidR="009A3DCA">
        <w:t>return</w:t>
      </w:r>
      <w:r w:rsidR="00E9508F">
        <w:t xml:space="preserve"> them, after receiving parental consent</w:t>
      </w:r>
      <w:r w:rsidR="009A3DCA">
        <w:t>, to the Hospital and Home Tuition Service</w:t>
      </w:r>
      <w:r w:rsidR="00E9508F">
        <w:t xml:space="preserve">. </w:t>
      </w:r>
    </w:p>
    <w:p w14:paraId="7ED4FDC6" w14:textId="77777777" w:rsidR="00F62D15" w:rsidRDefault="00F21F25" w:rsidP="00536C64">
      <w:pPr>
        <w:spacing w:line="360" w:lineRule="auto"/>
      </w:pPr>
      <w:r>
        <w:t xml:space="preserve">The </w:t>
      </w:r>
      <w:r w:rsidR="00F80DDF">
        <w:t>primary point of contact for arranging Hospital and Home Tuition</w:t>
      </w:r>
      <w:r w:rsidR="00276E01">
        <w:t xml:space="preserve"> is Paul Davenport</w:t>
      </w:r>
      <w:r w:rsidR="009A3DCA">
        <w:t>, the service manager</w:t>
      </w:r>
      <w:r w:rsidR="00276E01">
        <w:t xml:space="preserve">. </w:t>
      </w:r>
      <w:r w:rsidR="001D140D">
        <w:t>Schools</w:t>
      </w:r>
      <w:r w:rsidR="007950C7">
        <w:t xml:space="preserve"> or parents </w:t>
      </w:r>
      <w:r w:rsidR="001D140D">
        <w:t>can e</w:t>
      </w:r>
      <w:r w:rsidR="00687F2E">
        <w:t xml:space="preserve">mail the Hospital and Home Tuition Service on </w:t>
      </w:r>
      <w:hyperlink r:id="rId6" w:history="1">
        <w:r w:rsidR="00117952" w:rsidRPr="00156BE9">
          <w:rPr>
            <w:rStyle w:val="Hyperlink"/>
          </w:rPr>
          <w:t>hospitalandhometuitionservice@knowsley.gov.uk</w:t>
        </w:r>
      </w:hyperlink>
      <w:r w:rsidR="007950C7">
        <w:t xml:space="preserve"> or y</w:t>
      </w:r>
      <w:r w:rsidR="00117952">
        <w:t xml:space="preserve">ou can call Paul on </w:t>
      </w:r>
      <w:r w:rsidR="007D3EE4">
        <w:t xml:space="preserve">07384900837. </w:t>
      </w:r>
    </w:p>
    <w:p w14:paraId="0F66212D" w14:textId="63BBA6DD" w:rsidR="00F62D15" w:rsidRPr="00BC799E" w:rsidRDefault="000C6764" w:rsidP="00536C64">
      <w:pPr>
        <w:spacing w:line="360" w:lineRule="auto"/>
        <w:rPr>
          <w:color w:val="0000FF"/>
          <w:u w:val="single"/>
        </w:rPr>
      </w:pPr>
      <w:r>
        <w:lastRenderedPageBreak/>
        <w:t xml:space="preserve">The Knowsley  local offer has a page relating to the service </w:t>
      </w:r>
      <w:hyperlink r:id="rId7" w:history="1">
        <w:r w:rsidR="006A3698">
          <w:rPr>
            <w:rStyle w:val="Hyperlink"/>
          </w:rPr>
          <w:t>Knowsley Hospital and Home Tuition Service | Knowsley Family Information Service (knowsleyinfo.co.uk)</w:t>
        </w:r>
      </w:hyperlink>
      <w:r w:rsidR="00F62D15">
        <w:rPr>
          <w:rStyle w:val="Hyperlink"/>
        </w:rPr>
        <w:t xml:space="preserve"> </w:t>
      </w:r>
      <w:r w:rsidR="00BC799E">
        <w:t>w</w:t>
      </w:r>
      <w:r w:rsidR="00F62D15">
        <w:t>hich gives a summary of this policy.</w:t>
      </w:r>
    </w:p>
    <w:p w14:paraId="58570DB6" w14:textId="6B98942B" w:rsidR="0067607A" w:rsidRPr="00B44FAD" w:rsidRDefault="00B44FAD" w:rsidP="00536C64">
      <w:pPr>
        <w:spacing w:line="360" w:lineRule="auto"/>
        <w:rPr>
          <w:b/>
          <w:bCs/>
          <w:sz w:val="24"/>
          <w:szCs w:val="24"/>
          <w:u w:val="single"/>
        </w:rPr>
      </w:pPr>
      <w:r w:rsidRPr="00B44FAD">
        <w:rPr>
          <w:b/>
          <w:bCs/>
          <w:sz w:val="24"/>
          <w:szCs w:val="24"/>
          <w:u w:val="single"/>
        </w:rPr>
        <w:t>How is support delivered</w:t>
      </w:r>
      <w:r w:rsidR="0067607A" w:rsidRPr="00B44FAD">
        <w:rPr>
          <w:b/>
          <w:bCs/>
          <w:sz w:val="24"/>
          <w:szCs w:val="24"/>
          <w:u w:val="single"/>
        </w:rPr>
        <w:t>?</w:t>
      </w:r>
    </w:p>
    <w:p w14:paraId="2DF78945" w14:textId="2BFDEAF4" w:rsidR="00310A46" w:rsidRDefault="005E1E10" w:rsidP="00536C64">
      <w:pPr>
        <w:spacing w:line="360" w:lineRule="auto"/>
      </w:pPr>
      <w:r>
        <w:t xml:space="preserve">The measures that a </w:t>
      </w:r>
      <w:r w:rsidR="00177D27">
        <w:t xml:space="preserve">Knowsley </w:t>
      </w:r>
      <w:r>
        <w:t>LA c</w:t>
      </w:r>
      <w:r w:rsidR="00573663">
        <w:t>an</w:t>
      </w:r>
      <w:r>
        <w:t xml:space="preserve"> use to </w:t>
      </w:r>
      <w:r w:rsidR="00614A82">
        <w:t xml:space="preserve">ensure educational provision is </w:t>
      </w:r>
      <w:r w:rsidR="00B44FAD">
        <w:t>delivered</w:t>
      </w:r>
      <w:r w:rsidR="00614A82">
        <w:t xml:space="preserve"> </w:t>
      </w:r>
      <w:r w:rsidR="00310A46">
        <w:t>c</w:t>
      </w:r>
      <w:r w:rsidR="00B44FAD">
        <w:t>an</w:t>
      </w:r>
      <w:r w:rsidR="00310A46">
        <w:t xml:space="preserve"> include:</w:t>
      </w:r>
    </w:p>
    <w:p w14:paraId="0C59DCF5" w14:textId="77777777" w:rsidR="00310A46" w:rsidRDefault="00310A46" w:rsidP="00536C64">
      <w:pPr>
        <w:pStyle w:val="ListParagraph"/>
        <w:numPr>
          <w:ilvl w:val="0"/>
          <w:numId w:val="1"/>
        </w:numPr>
        <w:spacing w:line="360" w:lineRule="auto"/>
      </w:pPr>
      <w:r>
        <w:t>home teaching</w:t>
      </w:r>
    </w:p>
    <w:p w14:paraId="6E7E6204" w14:textId="77777777" w:rsidR="00310A46" w:rsidRDefault="00310A46" w:rsidP="00536C64">
      <w:pPr>
        <w:pStyle w:val="ListParagraph"/>
        <w:numPr>
          <w:ilvl w:val="0"/>
          <w:numId w:val="1"/>
        </w:numPr>
        <w:spacing w:line="360" w:lineRule="auto"/>
      </w:pPr>
      <w:r>
        <w:t>a hospital school or teaching service</w:t>
      </w:r>
    </w:p>
    <w:p w14:paraId="01832A72" w14:textId="77777777" w:rsidR="00310A46" w:rsidRDefault="00310A46" w:rsidP="00536C64">
      <w:pPr>
        <w:pStyle w:val="ListParagraph"/>
        <w:numPr>
          <w:ilvl w:val="0"/>
          <w:numId w:val="1"/>
        </w:numPr>
        <w:spacing w:line="360" w:lineRule="auto"/>
      </w:pPr>
      <w:r>
        <w:t>a combination of home and hospital teaching</w:t>
      </w:r>
    </w:p>
    <w:p w14:paraId="397E433B" w14:textId="37227E2D" w:rsidR="00310A46" w:rsidRDefault="00B44FAD" w:rsidP="00536C64">
      <w:pPr>
        <w:spacing w:line="360" w:lineRule="auto"/>
      </w:pPr>
      <w:r>
        <w:t>The local authority</w:t>
      </w:r>
      <w:r w:rsidR="00310A46">
        <w:t xml:space="preserve"> must make sure </w:t>
      </w:r>
      <w:r w:rsidR="004D5F3E">
        <w:t>the</w:t>
      </w:r>
      <w:r w:rsidR="00310A46">
        <w:t xml:space="preserve"> child continues to get a full time education - unless part time is better for their health needs.</w:t>
      </w:r>
    </w:p>
    <w:p w14:paraId="7615382A" w14:textId="67FED4FE" w:rsidR="00310A46" w:rsidRDefault="00762A85" w:rsidP="00536C64">
      <w:pPr>
        <w:spacing w:line="360" w:lineRule="auto"/>
      </w:pPr>
      <w:r>
        <w:t xml:space="preserve">To achieve these aims, </w:t>
      </w:r>
      <w:r w:rsidR="0069769E">
        <w:t>Knowsley</w:t>
      </w:r>
      <w:r w:rsidR="00FE1EEE">
        <w:t xml:space="preserve"> will</w:t>
      </w:r>
      <w:r w:rsidR="008A0837">
        <w:t>:</w:t>
      </w:r>
    </w:p>
    <w:p w14:paraId="6C0173C2" w14:textId="6785CF83" w:rsidR="00573663" w:rsidRDefault="000F1CE6" w:rsidP="00536C64">
      <w:pPr>
        <w:pStyle w:val="ListParagraph"/>
        <w:numPr>
          <w:ilvl w:val="0"/>
          <w:numId w:val="5"/>
        </w:numPr>
        <w:spacing w:line="360" w:lineRule="auto"/>
      </w:pPr>
      <w:r>
        <w:t xml:space="preserve">Ensure that at the 15 day threshold, school </w:t>
      </w:r>
      <w:r w:rsidR="002B2333">
        <w:t xml:space="preserve">begin to </w:t>
      </w:r>
      <w:r>
        <w:t>send work home to students</w:t>
      </w:r>
      <w:r w:rsidR="003C0F52">
        <w:t xml:space="preserve">. This work will be </w:t>
      </w:r>
      <w:r w:rsidR="00230883">
        <w:t xml:space="preserve">monitored </w:t>
      </w:r>
      <w:r w:rsidR="00463B7C">
        <w:t xml:space="preserve">by school </w:t>
      </w:r>
      <w:r w:rsidR="003C0F52">
        <w:t xml:space="preserve">on a regular basis </w:t>
      </w:r>
      <w:r w:rsidR="00230883">
        <w:t xml:space="preserve">and </w:t>
      </w:r>
      <w:r w:rsidR="002B2333">
        <w:t xml:space="preserve">school will </w:t>
      </w:r>
      <w:r w:rsidR="00230883">
        <w:t>replenish</w:t>
      </w:r>
      <w:r w:rsidR="002B2333">
        <w:t xml:space="preserve"> this</w:t>
      </w:r>
      <w:r w:rsidR="00230883">
        <w:t xml:space="preserve"> when needed.</w:t>
      </w:r>
      <w:r w:rsidR="003C0F52">
        <w:t xml:space="preserve"> </w:t>
      </w:r>
    </w:p>
    <w:p w14:paraId="5A34D270" w14:textId="77777777" w:rsidR="0081644E" w:rsidRDefault="0084637A" w:rsidP="00536C64">
      <w:pPr>
        <w:pStyle w:val="ListParagraph"/>
        <w:numPr>
          <w:ilvl w:val="0"/>
          <w:numId w:val="5"/>
        </w:numPr>
        <w:spacing w:line="360" w:lineRule="auto"/>
      </w:pPr>
      <w:r>
        <w:t>D</w:t>
      </w:r>
      <w:r w:rsidR="008A0837">
        <w:t>eliver home tuition, or education at Whiston Hospital, for students who are too sick to attend school.</w:t>
      </w:r>
      <w:r>
        <w:t xml:space="preserve"> </w:t>
      </w:r>
      <w:r w:rsidR="008A0837">
        <w:t xml:space="preserve">Knowsley Hospital and Home Tuition Service </w:t>
      </w:r>
      <w:r>
        <w:t xml:space="preserve">will </w:t>
      </w:r>
      <w:r w:rsidR="008A0837">
        <w:t xml:space="preserve">act as a bridging </w:t>
      </w:r>
      <w:r>
        <w:t xml:space="preserve">service </w:t>
      </w:r>
      <w:r w:rsidR="008A0837">
        <w:t xml:space="preserve">to facilitate the child’s education until the student is well enough to return to school. </w:t>
      </w:r>
    </w:p>
    <w:p w14:paraId="35FA1620" w14:textId="64369CD0" w:rsidR="008A0837" w:rsidRDefault="0081644E" w:rsidP="00536C64">
      <w:pPr>
        <w:pStyle w:val="ListParagraph"/>
        <w:numPr>
          <w:ilvl w:val="0"/>
          <w:numId w:val="5"/>
        </w:numPr>
        <w:spacing w:line="360" w:lineRule="auto"/>
      </w:pPr>
      <w:r>
        <w:t xml:space="preserve">Deliver learning sessions at our </w:t>
      </w:r>
      <w:r w:rsidR="008A0837">
        <w:t xml:space="preserve">teaching base, </w:t>
      </w:r>
      <w:r w:rsidR="00146DC0">
        <w:t>known as the</w:t>
      </w:r>
      <w:r w:rsidR="008A0837">
        <w:t xml:space="preserve"> ‘Hub’, at The George Howard Centre in Whiston. The ‘Hub’, </w:t>
      </w:r>
      <w:r w:rsidR="00552A3E">
        <w:t>acts</w:t>
      </w:r>
      <w:r w:rsidR="008A0837">
        <w:t xml:space="preserve"> as a halfway house between home tuition and a return to school. When </w:t>
      </w:r>
      <w:r w:rsidR="00762A85">
        <w:t>Knowsley LA</w:t>
      </w:r>
      <w:r w:rsidR="008A0837">
        <w:t xml:space="preserve"> determine a student may be ready to return to school, they will be invited to attend lessons there rather than at home, either individually or in small classes, to aid integration.</w:t>
      </w:r>
      <w:r w:rsidR="008A0837" w:rsidRPr="003F3351">
        <w:rPr>
          <w:noProof/>
        </w:rPr>
        <w:t xml:space="preserve"> </w:t>
      </w:r>
      <w:r w:rsidR="008A0837">
        <w:t xml:space="preserve">Whilst our aim is for children to transition back to the host school as soon as possible, some children </w:t>
      </w:r>
      <w:r w:rsidR="00785FF8">
        <w:t>with</w:t>
      </w:r>
      <w:r w:rsidR="008A0837">
        <w:t xml:space="preserve"> long term conditions may attend the Hub for a longer period of time. </w:t>
      </w:r>
    </w:p>
    <w:p w14:paraId="31E7EF71" w14:textId="77777777" w:rsidR="00F91C03" w:rsidRDefault="00F91C03" w:rsidP="00536C64">
      <w:pPr>
        <w:spacing w:line="360" w:lineRule="auto"/>
        <w:rPr>
          <w:b/>
          <w:bCs/>
          <w:sz w:val="24"/>
          <w:szCs w:val="24"/>
          <w:u w:val="single"/>
        </w:rPr>
      </w:pPr>
    </w:p>
    <w:p w14:paraId="7FC4CE44" w14:textId="09F66C3C" w:rsidR="00F91C03" w:rsidRPr="00F91C03" w:rsidRDefault="00F91C03" w:rsidP="00536C64">
      <w:pPr>
        <w:spacing w:line="360" w:lineRule="auto"/>
        <w:rPr>
          <w:b/>
          <w:bCs/>
          <w:sz w:val="24"/>
          <w:szCs w:val="24"/>
          <w:u w:val="single"/>
        </w:rPr>
      </w:pPr>
      <w:r w:rsidRPr="00F91C03">
        <w:rPr>
          <w:b/>
          <w:bCs/>
          <w:sz w:val="24"/>
          <w:szCs w:val="24"/>
          <w:u w:val="single"/>
        </w:rPr>
        <w:t>What are the criteria for gaining support</w:t>
      </w:r>
      <w:r w:rsidR="0096414F">
        <w:rPr>
          <w:b/>
          <w:bCs/>
          <w:sz w:val="24"/>
          <w:szCs w:val="24"/>
          <w:u w:val="single"/>
        </w:rPr>
        <w:t xml:space="preserve"> and how does the referral process take place</w:t>
      </w:r>
      <w:r w:rsidRPr="00F91C03">
        <w:rPr>
          <w:b/>
          <w:bCs/>
          <w:sz w:val="24"/>
          <w:szCs w:val="24"/>
          <w:u w:val="single"/>
        </w:rPr>
        <w:t>?</w:t>
      </w:r>
    </w:p>
    <w:p w14:paraId="64B4CF44" w14:textId="733D032A" w:rsidR="00CD0C13" w:rsidRDefault="00F91C03" w:rsidP="00536C64">
      <w:pPr>
        <w:spacing w:line="360" w:lineRule="auto"/>
      </w:pPr>
      <w:r>
        <w:t>T</w:t>
      </w:r>
      <w:r w:rsidR="00CD0C13">
        <w:t xml:space="preserve">o access </w:t>
      </w:r>
      <w:r w:rsidR="007319FE">
        <w:t xml:space="preserve">support from the Hospital and Home Tuition </w:t>
      </w:r>
      <w:r w:rsidR="00CD0C13">
        <w:t>service the chid should be:</w:t>
      </w:r>
    </w:p>
    <w:p w14:paraId="078040EB" w14:textId="590CA12E" w:rsidR="00CD0C13" w:rsidRDefault="00CD0C13" w:rsidP="00536C64">
      <w:pPr>
        <w:pStyle w:val="ListParagraph"/>
        <w:numPr>
          <w:ilvl w:val="0"/>
          <w:numId w:val="2"/>
        </w:numPr>
        <w:spacing w:line="360" w:lineRule="auto"/>
      </w:pPr>
      <w:r>
        <w:t xml:space="preserve">Absent from school for 15 days </w:t>
      </w:r>
      <w:r w:rsidR="00F91C03">
        <w:t>(cumulative or consecutive in the academic year)</w:t>
      </w:r>
    </w:p>
    <w:p w14:paraId="5E472959" w14:textId="77777777" w:rsidR="00CD0C13" w:rsidRDefault="00CD0C13" w:rsidP="00536C64">
      <w:pPr>
        <w:pStyle w:val="ListParagraph"/>
        <w:spacing w:line="360" w:lineRule="auto"/>
      </w:pPr>
    </w:p>
    <w:p w14:paraId="6B0A1B17" w14:textId="77777777" w:rsidR="00CD0C13" w:rsidRPr="00930807" w:rsidRDefault="00CD0C13" w:rsidP="00536C64">
      <w:pPr>
        <w:pStyle w:val="ListParagraph"/>
        <w:spacing w:line="360" w:lineRule="auto"/>
      </w:pPr>
      <w:r w:rsidRPr="00930807">
        <w:t>AND</w:t>
      </w:r>
    </w:p>
    <w:p w14:paraId="7DBE2070" w14:textId="77777777" w:rsidR="00CD0C13" w:rsidRDefault="00CD0C13" w:rsidP="00536C64">
      <w:pPr>
        <w:pStyle w:val="ListParagraph"/>
        <w:spacing w:line="360" w:lineRule="auto"/>
      </w:pPr>
    </w:p>
    <w:p w14:paraId="01EF55DD" w14:textId="4532DC90" w:rsidR="00CD0C13" w:rsidRPr="00930807" w:rsidRDefault="00CD0C13" w:rsidP="00536C64">
      <w:pPr>
        <w:pStyle w:val="ListParagraph"/>
        <w:numPr>
          <w:ilvl w:val="0"/>
          <w:numId w:val="2"/>
        </w:numPr>
        <w:spacing w:line="360" w:lineRule="auto"/>
        <w:rPr>
          <w:i/>
          <w:iCs/>
        </w:rPr>
      </w:pPr>
      <w:r>
        <w:lastRenderedPageBreak/>
        <w:t>Be a</w:t>
      </w:r>
      <w:r w:rsidR="00EE3346">
        <w:t xml:space="preserve">ble to </w:t>
      </w:r>
      <w:r w:rsidR="004D7B22">
        <w:t>provide a medical</w:t>
      </w:r>
      <w:r w:rsidR="00EE3346">
        <w:t xml:space="preserve"> reason for</w:t>
      </w:r>
      <w:r w:rsidR="0008015B">
        <w:t xml:space="preserve"> this </w:t>
      </w:r>
      <w:r w:rsidR="00EE3346">
        <w:t>absence</w:t>
      </w:r>
      <w:r w:rsidR="00DE2A49">
        <w:t>. To support this</w:t>
      </w:r>
      <w:r w:rsidR="008F5CDA">
        <w:t>,</w:t>
      </w:r>
      <w:r w:rsidR="00DE2A49">
        <w:t xml:space="preserve"> </w:t>
      </w:r>
      <w:r w:rsidR="007F5154">
        <w:t xml:space="preserve">evidence may be requested </w:t>
      </w:r>
      <w:r w:rsidR="00930807">
        <w:t xml:space="preserve">e.g. </w:t>
      </w:r>
      <w:r>
        <w:t xml:space="preserve">a </w:t>
      </w:r>
      <w:r w:rsidR="00930807">
        <w:t xml:space="preserve">letter from a </w:t>
      </w:r>
      <w:r>
        <w:t>medical professional</w:t>
      </w:r>
      <w:r w:rsidR="00930807">
        <w:t>/ doctor/ CAMHS</w:t>
      </w:r>
    </w:p>
    <w:p w14:paraId="200C3CE1" w14:textId="41A995BA" w:rsidR="002927B8" w:rsidRDefault="002927B8" w:rsidP="00536C64">
      <w:pPr>
        <w:spacing w:line="360" w:lineRule="auto"/>
      </w:pPr>
      <w:r>
        <w:t>There must be a designated member of staff in the host school with accountability for overseeing Home tuition. This is usually the SENCO. This person will be the primary contact for correspondence for the HHT.</w:t>
      </w:r>
      <w:r w:rsidR="00B64038">
        <w:t xml:space="preserve"> </w:t>
      </w:r>
      <w:r>
        <w:t>Whilst some of the practicalities maybe delegated to other staff, the SENCO will remain the primary point of contact as decision may need to be made which require senior leadership consent.</w:t>
      </w:r>
    </w:p>
    <w:p w14:paraId="008DBEE1" w14:textId="03038137" w:rsidR="0008292E" w:rsidRDefault="001754F0" w:rsidP="00536C64">
      <w:pPr>
        <w:spacing w:line="360" w:lineRule="auto"/>
      </w:pPr>
      <w:r>
        <w:t>T</w:t>
      </w:r>
      <w:r w:rsidR="0008292E">
        <w:t xml:space="preserve">he home school has a duty (regulation 12(1)(a) of the Education (Pupil Registration) (England) Regulations 2006 to provide to the local authority, at agreed intervals, the full name and address of any pupils of compulsory school age who are not attending school regularly (including due to their health needs). </w:t>
      </w:r>
    </w:p>
    <w:p w14:paraId="08C25D0A" w14:textId="6956370F" w:rsidR="00930807" w:rsidRDefault="00BC39BA" w:rsidP="00536C64">
      <w:pPr>
        <w:spacing w:line="360" w:lineRule="auto"/>
      </w:pPr>
      <w:r>
        <w:t>S</w:t>
      </w:r>
      <w:r w:rsidR="002927B8">
        <w:t>chools must complete the ‘Schools Referral Pro Forma 2022’, which will require parents to sign</w:t>
      </w:r>
      <w:r w:rsidR="00B37D03">
        <w:t xml:space="preserve"> to show consent</w:t>
      </w:r>
      <w:r w:rsidR="002927B8">
        <w:t>. A scanned copy of this form must then be emailed to the head of the Hospital and Home tuition service</w:t>
      </w:r>
      <w:r w:rsidR="00B64038">
        <w:t xml:space="preserve">, along with </w:t>
      </w:r>
      <w:r w:rsidR="00BF0AFD">
        <w:t>‘</w:t>
      </w:r>
      <w:r w:rsidR="000015D3">
        <w:t>Referral Form 2023</w:t>
      </w:r>
      <w:r w:rsidR="00BF0AFD">
        <w:t>’</w:t>
      </w:r>
      <w:r w:rsidR="000015D3">
        <w:t xml:space="preserve"> which contains the medical information from the doctor</w:t>
      </w:r>
      <w:r w:rsidR="002927B8">
        <w:t>.</w:t>
      </w:r>
    </w:p>
    <w:p w14:paraId="38E50D86" w14:textId="704A8E39" w:rsidR="00BC39BA" w:rsidRDefault="00222A98" w:rsidP="00536C64">
      <w:pPr>
        <w:spacing w:line="360" w:lineRule="auto"/>
      </w:pPr>
      <w:r>
        <w:t>Following</w:t>
      </w:r>
      <w:r w:rsidR="00BC39BA">
        <w:t xml:space="preserve"> submission of the forms to HHT, </w:t>
      </w:r>
      <w:r w:rsidR="0094202F">
        <w:t>HHT will co</w:t>
      </w:r>
      <w:r w:rsidR="003E473C">
        <w:t xml:space="preserve">-ordinate with </w:t>
      </w:r>
      <w:r w:rsidR="00BC39BA">
        <w:t>school</w:t>
      </w:r>
      <w:r w:rsidR="000D64EC">
        <w:t>,</w:t>
      </w:r>
      <w:r w:rsidR="00BC39BA">
        <w:t xml:space="preserve"> parents, and other relevant professionals</w:t>
      </w:r>
      <w:r w:rsidR="003E473C">
        <w:t xml:space="preserve"> to </w:t>
      </w:r>
      <w:r w:rsidR="00BC39BA">
        <w:t>establish:</w:t>
      </w:r>
    </w:p>
    <w:p w14:paraId="4644B2E8" w14:textId="77777777" w:rsidR="00BC39BA" w:rsidRDefault="00BC39BA" w:rsidP="00536C64">
      <w:pPr>
        <w:pStyle w:val="ListParagraph"/>
        <w:numPr>
          <w:ilvl w:val="0"/>
          <w:numId w:val="3"/>
        </w:numPr>
        <w:spacing w:line="360" w:lineRule="auto"/>
      </w:pPr>
      <w:r>
        <w:t>The lessons that will be taught.</w:t>
      </w:r>
    </w:p>
    <w:p w14:paraId="54905754" w14:textId="77777777" w:rsidR="00BC39BA" w:rsidRDefault="00BC39BA" w:rsidP="00536C64">
      <w:pPr>
        <w:pStyle w:val="ListParagraph"/>
        <w:numPr>
          <w:ilvl w:val="0"/>
          <w:numId w:val="3"/>
        </w:numPr>
        <w:spacing w:line="360" w:lineRule="auto"/>
      </w:pPr>
      <w:r>
        <w:t>How work will be sent home by school.</w:t>
      </w:r>
    </w:p>
    <w:p w14:paraId="407324AE" w14:textId="77777777" w:rsidR="00BC39BA" w:rsidRDefault="00BC39BA" w:rsidP="00536C64">
      <w:pPr>
        <w:pStyle w:val="ListParagraph"/>
        <w:numPr>
          <w:ilvl w:val="0"/>
          <w:numId w:val="3"/>
        </w:numPr>
        <w:spacing w:line="360" w:lineRule="auto"/>
      </w:pPr>
      <w:r>
        <w:t>The student’s attainment levels.</w:t>
      </w:r>
    </w:p>
    <w:p w14:paraId="1C530805" w14:textId="77777777" w:rsidR="00BC39BA" w:rsidRDefault="00BC39BA" w:rsidP="00536C64">
      <w:pPr>
        <w:pStyle w:val="ListParagraph"/>
        <w:numPr>
          <w:ilvl w:val="0"/>
          <w:numId w:val="3"/>
        </w:numPr>
        <w:spacing w:line="360" w:lineRule="auto"/>
      </w:pPr>
      <w:r>
        <w:t>School’s responsibilities towards the student.</w:t>
      </w:r>
    </w:p>
    <w:p w14:paraId="3867755E" w14:textId="77777777" w:rsidR="00BC39BA" w:rsidRDefault="00BC39BA" w:rsidP="00536C64">
      <w:pPr>
        <w:pStyle w:val="ListParagraph"/>
        <w:numPr>
          <w:ilvl w:val="0"/>
          <w:numId w:val="3"/>
        </w:numPr>
        <w:spacing w:line="360" w:lineRule="auto"/>
      </w:pPr>
      <w:r>
        <w:t>Parental responsibilities towards the Home Tuition.</w:t>
      </w:r>
    </w:p>
    <w:p w14:paraId="740E70E9" w14:textId="77777777" w:rsidR="00BC39BA" w:rsidRDefault="00BC39BA" w:rsidP="00536C64">
      <w:pPr>
        <w:pStyle w:val="ListParagraph"/>
        <w:numPr>
          <w:ilvl w:val="0"/>
          <w:numId w:val="3"/>
        </w:numPr>
        <w:spacing w:line="360" w:lineRule="auto"/>
      </w:pPr>
      <w:r>
        <w:t>Goals and Targets.</w:t>
      </w:r>
    </w:p>
    <w:p w14:paraId="6E12A2B3" w14:textId="3A125E03" w:rsidR="00BC39BA" w:rsidRDefault="00BC39BA" w:rsidP="00C06E89">
      <w:pPr>
        <w:pStyle w:val="ListParagraph"/>
        <w:numPr>
          <w:ilvl w:val="0"/>
          <w:numId w:val="3"/>
        </w:numPr>
        <w:spacing w:line="360" w:lineRule="auto"/>
      </w:pPr>
      <w:r>
        <w:t>How to continue links with school and peers.</w:t>
      </w:r>
    </w:p>
    <w:p w14:paraId="5BF8A835" w14:textId="77777777" w:rsidR="00BC39BA" w:rsidRDefault="00BC39BA" w:rsidP="00536C64">
      <w:pPr>
        <w:pStyle w:val="ListParagraph"/>
        <w:numPr>
          <w:ilvl w:val="0"/>
          <w:numId w:val="3"/>
        </w:numPr>
        <w:spacing w:line="360" w:lineRule="auto"/>
      </w:pPr>
      <w:r>
        <w:t>Date for Home visit from HHT staff.</w:t>
      </w:r>
    </w:p>
    <w:p w14:paraId="6D59EAC5" w14:textId="1F01ED45" w:rsidR="00BC39BA" w:rsidRDefault="000D64EC" w:rsidP="00536C64">
      <w:pPr>
        <w:spacing w:line="360" w:lineRule="auto"/>
      </w:pPr>
      <w:r>
        <w:t xml:space="preserve">Prior to tuition starting, </w:t>
      </w:r>
      <w:r w:rsidR="00BC39BA">
        <w:t xml:space="preserve">a home visit will be arranged to </w:t>
      </w:r>
      <w:r w:rsidR="007C5BAD">
        <w:t xml:space="preserve">meet the child and parents, </w:t>
      </w:r>
      <w:r w:rsidR="00BC39BA">
        <w:t>before dates for support to begin are agreed.</w:t>
      </w:r>
    </w:p>
    <w:p w14:paraId="1F9D3421" w14:textId="6503D7B6" w:rsidR="0049317C" w:rsidRPr="000E2182" w:rsidRDefault="00921493" w:rsidP="00536C64">
      <w:pPr>
        <w:spacing w:line="360" w:lineRule="auto"/>
        <w:rPr>
          <w:i/>
          <w:iCs/>
        </w:rPr>
      </w:pPr>
      <w:r>
        <w:t>T</w:t>
      </w:r>
      <w:r w:rsidR="00572CED">
        <w:t xml:space="preserve">here is no set entitlement </w:t>
      </w:r>
      <w:r w:rsidR="00703CED">
        <w:t xml:space="preserve">for </w:t>
      </w:r>
      <w:r w:rsidR="006F5240">
        <w:t>s</w:t>
      </w:r>
      <w:r w:rsidR="00D44AFA">
        <w:t>tudents</w:t>
      </w:r>
      <w:r w:rsidR="001931D4">
        <w:t xml:space="preserve"> for tuition</w:t>
      </w:r>
      <w:r w:rsidR="0049317C">
        <w:t>. The guidance</w:t>
      </w:r>
      <w:r w:rsidR="000E2182">
        <w:t xml:space="preserve">, </w:t>
      </w:r>
      <w:r w:rsidR="00A130F8">
        <w:t xml:space="preserve">“Arranging education for children who cannot attend school because of health needs 2023” states that </w:t>
      </w:r>
      <w:r w:rsidR="00A130F8" w:rsidRPr="000E2182">
        <w:rPr>
          <w:i/>
          <w:iCs/>
        </w:rPr>
        <w:t>‘</w:t>
      </w:r>
      <w:r w:rsidR="0049317C" w:rsidRPr="000E2182">
        <w:rPr>
          <w:i/>
          <w:iCs/>
        </w:rPr>
        <w:t>If, for example, a child receives one-to-one tuition, the hours of face-to-face provision could be fewer as the education may be more intensive.</w:t>
      </w:r>
      <w:r w:rsidR="000E2182" w:rsidRPr="000E2182">
        <w:rPr>
          <w:i/>
          <w:iCs/>
        </w:rPr>
        <w:t>’</w:t>
      </w:r>
    </w:p>
    <w:p w14:paraId="3CF0AE56" w14:textId="4D71ABAF" w:rsidR="00D44AFA" w:rsidRDefault="0061186D" w:rsidP="00536C64">
      <w:pPr>
        <w:spacing w:line="360" w:lineRule="auto"/>
      </w:pPr>
      <w:r>
        <w:lastRenderedPageBreak/>
        <w:t xml:space="preserve">Where </w:t>
      </w:r>
      <w:r w:rsidR="00FF402F">
        <w:t>possible</w:t>
      </w:r>
      <w:r w:rsidR="00AA1AB6">
        <w:t>,</w:t>
      </w:r>
      <w:r w:rsidR="00FF402F">
        <w:t xml:space="preserve"> we will try to deliver </w:t>
      </w:r>
      <w:r>
        <w:t>several</w:t>
      </w:r>
      <w:r w:rsidR="00FF402F">
        <w:t xml:space="preserve"> </w:t>
      </w:r>
      <w:r w:rsidR="00D44AFA">
        <w:t xml:space="preserve">hours of tutoring a week. </w:t>
      </w:r>
      <w:r w:rsidR="00D44AFA" w:rsidRPr="005D105F">
        <w:rPr>
          <w:i/>
          <w:iCs/>
        </w:rPr>
        <w:t>This is supplem</w:t>
      </w:r>
      <w:r w:rsidR="00A47839" w:rsidRPr="005D105F">
        <w:rPr>
          <w:i/>
          <w:iCs/>
        </w:rPr>
        <w:t xml:space="preserve">ental to support the work that is sent home by school which the student be completing during the week as part of their </w:t>
      </w:r>
      <w:r w:rsidR="005D105F" w:rsidRPr="005D105F">
        <w:rPr>
          <w:i/>
          <w:iCs/>
        </w:rPr>
        <w:t>education.</w:t>
      </w:r>
    </w:p>
    <w:p w14:paraId="106146C2" w14:textId="3213B339" w:rsidR="003A53DF" w:rsidRDefault="004841DB" w:rsidP="00536C64">
      <w:pPr>
        <w:spacing w:line="360" w:lineRule="auto"/>
      </w:pPr>
      <w:r>
        <w:t>T</w:t>
      </w:r>
      <w:r w:rsidR="00D44AFA">
        <w:t>he amount and duration of lessons in a week will be agreed with parents and the students, and then reviewed over time</w:t>
      </w:r>
      <w:r>
        <w:t xml:space="preserve">, </w:t>
      </w:r>
      <w:r w:rsidR="00BF0242">
        <w:t>reflecting the medical and emotional well being of the child</w:t>
      </w:r>
      <w:r w:rsidR="00D44AFA">
        <w:t>.</w:t>
      </w:r>
      <w:r w:rsidR="003A53DF">
        <w:t xml:space="preserve"> </w:t>
      </w:r>
      <w:r w:rsidR="00436E92">
        <w:t xml:space="preserve">The guidance, “Arranging education for children who cannot attend school because of health needs 2023” states that </w:t>
      </w:r>
      <w:r w:rsidR="00436E92" w:rsidRPr="00436E92">
        <w:rPr>
          <w:i/>
          <w:iCs/>
        </w:rPr>
        <w:t>‘</w:t>
      </w:r>
      <w:r w:rsidR="003A53DF" w:rsidRPr="00436E92">
        <w:rPr>
          <w:i/>
          <w:iCs/>
        </w:rPr>
        <w:t>Where full-time education would not be in a child’s best interests for reasons relating to their physical or mental health, local authorities must arrange part-time education on whatever basis they consider to be in the child's best interests.</w:t>
      </w:r>
      <w:r w:rsidR="00436E92" w:rsidRPr="00436E92">
        <w:rPr>
          <w:i/>
          <w:iCs/>
        </w:rPr>
        <w:t>’</w:t>
      </w:r>
    </w:p>
    <w:p w14:paraId="22CEE851" w14:textId="59CB073B" w:rsidR="00D44AFA" w:rsidRDefault="00D44AFA" w:rsidP="00536C64">
      <w:pPr>
        <w:spacing w:line="360" w:lineRule="auto"/>
      </w:pPr>
      <w:r>
        <w:t xml:space="preserve">HHT staff will provide support for students on their work during tutor sessions. This does not mean that students will only work during these times, and they are encouraged to </w:t>
      </w:r>
      <w:r w:rsidR="00A63D87">
        <w:t>continue their</w:t>
      </w:r>
      <w:r>
        <w:t xml:space="preserve"> independent learning</w:t>
      </w:r>
      <w:r w:rsidR="00A63D87">
        <w:t xml:space="preserve"> </w:t>
      </w:r>
      <w:r>
        <w:t>between sessions.</w:t>
      </w:r>
    </w:p>
    <w:p w14:paraId="76B33AC6" w14:textId="77777777" w:rsidR="00D44AFA" w:rsidRDefault="00D44AFA" w:rsidP="00536C64">
      <w:pPr>
        <w:spacing w:line="360" w:lineRule="auto"/>
      </w:pPr>
      <w:r>
        <w:t xml:space="preserve">Tuition and progress will be reviewed every term, and targets will be agreed. </w:t>
      </w:r>
    </w:p>
    <w:p w14:paraId="7F8FA1CF" w14:textId="77777777" w:rsidR="00E60E73" w:rsidRPr="00E60E73" w:rsidRDefault="00E60E73" w:rsidP="00536C64">
      <w:pPr>
        <w:spacing w:line="360" w:lineRule="auto"/>
        <w:rPr>
          <w:b/>
          <w:bCs/>
          <w:sz w:val="24"/>
          <w:szCs w:val="24"/>
          <w:u w:val="single"/>
        </w:rPr>
      </w:pPr>
      <w:r w:rsidRPr="00E60E73">
        <w:rPr>
          <w:b/>
          <w:bCs/>
          <w:sz w:val="24"/>
          <w:szCs w:val="24"/>
          <w:u w:val="single"/>
        </w:rPr>
        <w:t>Return to School</w:t>
      </w:r>
    </w:p>
    <w:p w14:paraId="34A56278" w14:textId="511DCEB4" w:rsidR="003D4830" w:rsidRDefault="00F31355" w:rsidP="00536C64">
      <w:pPr>
        <w:spacing w:line="360" w:lineRule="auto"/>
      </w:pPr>
      <w:r>
        <w:t>W</w:t>
      </w:r>
      <w:r w:rsidR="003D4830" w:rsidRPr="003D4830">
        <w:t xml:space="preserve">hen the student is beginning to look ready for a return to school, </w:t>
      </w:r>
      <w:r w:rsidR="003D4830">
        <w:t xml:space="preserve">we would </w:t>
      </w:r>
      <w:r>
        <w:t>aim to start tr</w:t>
      </w:r>
      <w:r w:rsidR="003D4830">
        <w:t xml:space="preserve">ansition to the Hub at the George Howard Centre in Whiston. </w:t>
      </w:r>
    </w:p>
    <w:p w14:paraId="47BF6757" w14:textId="77777777" w:rsidR="003D4830" w:rsidRDefault="003D4830" w:rsidP="00536C64">
      <w:pPr>
        <w:spacing w:line="360" w:lineRule="auto"/>
      </w:pPr>
      <w:r>
        <w:t>Once we feel that the student is ready to return to the host school, we will contact the SENCO and a return to school plan will be agreed. Dependent upon the child, we would look for a member of the host school to come into the ‘Hub’ to support the student in lessons, building a relationship, which could then be used to aid the transition back to school. During the transition HHT staff may support the transition onto school grounds. This could take the form of:</w:t>
      </w:r>
    </w:p>
    <w:p w14:paraId="14EC54F7" w14:textId="77777777" w:rsidR="003D4830" w:rsidRDefault="003D4830" w:rsidP="00536C64">
      <w:pPr>
        <w:pStyle w:val="ListParagraph"/>
        <w:numPr>
          <w:ilvl w:val="0"/>
          <w:numId w:val="4"/>
        </w:numPr>
        <w:spacing w:line="360" w:lineRule="auto"/>
      </w:pPr>
      <w:r>
        <w:t>Visits back to school</w:t>
      </w:r>
    </w:p>
    <w:p w14:paraId="498451D6" w14:textId="77777777" w:rsidR="003D4830" w:rsidRDefault="003D4830" w:rsidP="00536C64">
      <w:pPr>
        <w:pStyle w:val="ListParagraph"/>
        <w:numPr>
          <w:ilvl w:val="0"/>
          <w:numId w:val="4"/>
        </w:numPr>
        <w:spacing w:line="360" w:lineRule="auto"/>
      </w:pPr>
      <w:r>
        <w:t>Supporting during small group work in a phased reintroduction</w:t>
      </w:r>
    </w:p>
    <w:p w14:paraId="74444ADE" w14:textId="77777777" w:rsidR="003D4830" w:rsidRDefault="003D4830" w:rsidP="00536C64">
      <w:pPr>
        <w:pStyle w:val="ListParagraph"/>
        <w:numPr>
          <w:ilvl w:val="0"/>
          <w:numId w:val="4"/>
        </w:numPr>
        <w:spacing w:line="360" w:lineRule="auto"/>
      </w:pPr>
      <w:r>
        <w:t>Supporting during break times</w:t>
      </w:r>
    </w:p>
    <w:p w14:paraId="7AF91577" w14:textId="77777777" w:rsidR="003D4830" w:rsidRDefault="003D4830" w:rsidP="00536C64">
      <w:pPr>
        <w:pStyle w:val="ListParagraph"/>
        <w:numPr>
          <w:ilvl w:val="0"/>
          <w:numId w:val="4"/>
        </w:numPr>
        <w:spacing w:line="360" w:lineRule="auto"/>
      </w:pPr>
      <w:r>
        <w:t>Supporting during lessons in class to reintroduce back into school.</w:t>
      </w:r>
    </w:p>
    <w:p w14:paraId="40B968F2" w14:textId="77777777" w:rsidR="003D4830" w:rsidRDefault="003D4830" w:rsidP="00536C64">
      <w:pPr>
        <w:spacing w:line="360" w:lineRule="auto"/>
        <w:ind w:left="360"/>
        <w:rPr>
          <w:color w:val="C00000"/>
          <w:u w:val="single"/>
        </w:rPr>
      </w:pPr>
    </w:p>
    <w:p w14:paraId="23FBE95A" w14:textId="77777777" w:rsidR="003D4830" w:rsidRPr="009A1E60" w:rsidRDefault="003D4830" w:rsidP="00536C64">
      <w:pPr>
        <w:spacing w:line="360" w:lineRule="auto"/>
        <w:ind w:left="360"/>
        <w:rPr>
          <w:color w:val="C00000"/>
          <w:u w:val="single"/>
        </w:rPr>
      </w:pPr>
      <w:r w:rsidRPr="009A1E60">
        <w:rPr>
          <w:color w:val="C00000"/>
          <w:u w:val="single"/>
        </w:rPr>
        <w:t>Not all students may be willing or need to use the ‘Hub’ to return to school. In these cases, we would agree the transition plan and follow the 4 steps above.</w:t>
      </w:r>
    </w:p>
    <w:p w14:paraId="1233E895" w14:textId="77777777" w:rsidR="003D4830" w:rsidRDefault="003D4830" w:rsidP="00536C64">
      <w:pPr>
        <w:spacing w:line="360" w:lineRule="auto"/>
        <w:rPr>
          <w:b/>
          <w:bCs/>
        </w:rPr>
      </w:pPr>
      <w:r w:rsidRPr="00A21891">
        <w:rPr>
          <w:b/>
          <w:bCs/>
        </w:rPr>
        <w:t xml:space="preserve">Note: HHT staff are not 1:1 staff and are there to support the transition only. It is expected that HHT staff will hand over to school staff at the most opportune moment to allow school to take </w:t>
      </w:r>
      <w:r w:rsidRPr="00A21891">
        <w:rPr>
          <w:b/>
          <w:bCs/>
        </w:rPr>
        <w:lastRenderedPageBreak/>
        <w:t>over the transition process. The withdrawal of HHT support will be agreed between the HHT service, parents and school.</w:t>
      </w:r>
    </w:p>
    <w:p w14:paraId="6DC68F27" w14:textId="77777777" w:rsidR="003D4830" w:rsidRDefault="003D4830" w:rsidP="00536C64">
      <w:pPr>
        <w:spacing w:line="360" w:lineRule="auto"/>
      </w:pPr>
    </w:p>
    <w:p w14:paraId="2DC0879A" w14:textId="261BA55C" w:rsidR="008A7FAD" w:rsidRDefault="00132340" w:rsidP="00536C64">
      <w:pPr>
        <w:spacing w:line="360" w:lineRule="auto"/>
      </w:pPr>
      <w:r>
        <w:t xml:space="preserve">Paul Davenport </w:t>
      </w:r>
      <w:r w:rsidR="008C332A">
        <w:t>– Hospital and Home Tuition Service Manager</w:t>
      </w:r>
    </w:p>
    <w:p w14:paraId="7CB53998" w14:textId="497AC636" w:rsidR="00132340" w:rsidRDefault="00132340" w:rsidP="00536C64">
      <w:pPr>
        <w:spacing w:line="360" w:lineRule="auto"/>
      </w:pPr>
      <w:r>
        <w:t>Dated 18/12/23</w:t>
      </w:r>
    </w:p>
    <w:p w14:paraId="66BD1ADD" w14:textId="29F7A59C" w:rsidR="008C332A" w:rsidRDefault="008C332A" w:rsidP="00536C64">
      <w:pPr>
        <w:spacing w:line="360" w:lineRule="auto"/>
      </w:pPr>
      <w:r>
        <w:t>Updated 14/06/24</w:t>
      </w:r>
    </w:p>
    <w:p w14:paraId="387DD0EA" w14:textId="77777777" w:rsidR="008C332A" w:rsidRPr="00803589" w:rsidRDefault="008C332A" w:rsidP="00536C64">
      <w:pPr>
        <w:spacing w:line="360" w:lineRule="auto"/>
      </w:pPr>
    </w:p>
    <w:p w14:paraId="1F8356E4" w14:textId="77777777" w:rsidR="008A0837" w:rsidRDefault="008A0837" w:rsidP="00536C64">
      <w:pPr>
        <w:spacing w:line="360" w:lineRule="auto"/>
      </w:pPr>
    </w:p>
    <w:sectPr w:rsidR="008A0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5D7"/>
    <w:multiLevelType w:val="hybridMultilevel"/>
    <w:tmpl w:val="942265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7762D"/>
    <w:multiLevelType w:val="hybridMultilevel"/>
    <w:tmpl w:val="0122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D07C7"/>
    <w:multiLevelType w:val="hybridMultilevel"/>
    <w:tmpl w:val="05640D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9D67CB"/>
    <w:multiLevelType w:val="hybridMultilevel"/>
    <w:tmpl w:val="6B6A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76EE4"/>
    <w:multiLevelType w:val="hybridMultilevel"/>
    <w:tmpl w:val="BF76B7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3140567">
    <w:abstractNumId w:val="3"/>
  </w:num>
  <w:num w:numId="2" w16cid:durableId="1430351482">
    <w:abstractNumId w:val="0"/>
  </w:num>
  <w:num w:numId="3" w16cid:durableId="1066489462">
    <w:abstractNumId w:val="4"/>
  </w:num>
  <w:num w:numId="4" w16cid:durableId="1015838683">
    <w:abstractNumId w:val="2"/>
  </w:num>
  <w:num w:numId="5" w16cid:durableId="224411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46"/>
    <w:rsid w:val="000015D3"/>
    <w:rsid w:val="000760A0"/>
    <w:rsid w:val="0008015B"/>
    <w:rsid w:val="0008292E"/>
    <w:rsid w:val="000A7865"/>
    <w:rsid w:val="000C012D"/>
    <w:rsid w:val="000C6764"/>
    <w:rsid w:val="000D64EC"/>
    <w:rsid w:val="000E2182"/>
    <w:rsid w:val="000F1CE6"/>
    <w:rsid w:val="000F6438"/>
    <w:rsid w:val="00117952"/>
    <w:rsid w:val="00132340"/>
    <w:rsid w:val="00146DC0"/>
    <w:rsid w:val="00154CD5"/>
    <w:rsid w:val="001754F0"/>
    <w:rsid w:val="00177D27"/>
    <w:rsid w:val="001931D4"/>
    <w:rsid w:val="001B4D78"/>
    <w:rsid w:val="001C14E7"/>
    <w:rsid w:val="001D140D"/>
    <w:rsid w:val="002066FD"/>
    <w:rsid w:val="00222A98"/>
    <w:rsid w:val="00230883"/>
    <w:rsid w:val="00276E01"/>
    <w:rsid w:val="002927B8"/>
    <w:rsid w:val="002B2333"/>
    <w:rsid w:val="002C508D"/>
    <w:rsid w:val="002E3D3C"/>
    <w:rsid w:val="002E5CAE"/>
    <w:rsid w:val="00310A46"/>
    <w:rsid w:val="00322138"/>
    <w:rsid w:val="003A53DF"/>
    <w:rsid w:val="003C0F52"/>
    <w:rsid w:val="003D4830"/>
    <w:rsid w:val="003E473C"/>
    <w:rsid w:val="00435C5A"/>
    <w:rsid w:val="00436E92"/>
    <w:rsid w:val="00446B71"/>
    <w:rsid w:val="00463B7C"/>
    <w:rsid w:val="00473E83"/>
    <w:rsid w:val="004841DB"/>
    <w:rsid w:val="0049317C"/>
    <w:rsid w:val="004D5F3E"/>
    <w:rsid w:val="004D7B22"/>
    <w:rsid w:val="005222B6"/>
    <w:rsid w:val="00536C64"/>
    <w:rsid w:val="00552A3E"/>
    <w:rsid w:val="00572CED"/>
    <w:rsid w:val="00573663"/>
    <w:rsid w:val="005A3132"/>
    <w:rsid w:val="005B13CD"/>
    <w:rsid w:val="005C2793"/>
    <w:rsid w:val="005D105F"/>
    <w:rsid w:val="005E1E10"/>
    <w:rsid w:val="0061186D"/>
    <w:rsid w:val="00614A82"/>
    <w:rsid w:val="0067607A"/>
    <w:rsid w:val="00687F2E"/>
    <w:rsid w:val="0069769E"/>
    <w:rsid w:val="006A17AA"/>
    <w:rsid w:val="006A3698"/>
    <w:rsid w:val="006F5240"/>
    <w:rsid w:val="00703CED"/>
    <w:rsid w:val="007319FE"/>
    <w:rsid w:val="007456BA"/>
    <w:rsid w:val="007535B6"/>
    <w:rsid w:val="00762A85"/>
    <w:rsid w:val="00785FF8"/>
    <w:rsid w:val="007950C7"/>
    <w:rsid w:val="007C0204"/>
    <w:rsid w:val="007C5BAD"/>
    <w:rsid w:val="007D3EE4"/>
    <w:rsid w:val="007E756E"/>
    <w:rsid w:val="007F5154"/>
    <w:rsid w:val="00803589"/>
    <w:rsid w:val="0081644E"/>
    <w:rsid w:val="0082662D"/>
    <w:rsid w:val="0084637A"/>
    <w:rsid w:val="00847184"/>
    <w:rsid w:val="00890BB4"/>
    <w:rsid w:val="008A0837"/>
    <w:rsid w:val="008A7FAD"/>
    <w:rsid w:val="008B21FE"/>
    <w:rsid w:val="008C332A"/>
    <w:rsid w:val="008C63AF"/>
    <w:rsid w:val="008D55A5"/>
    <w:rsid w:val="008F5CDA"/>
    <w:rsid w:val="00921493"/>
    <w:rsid w:val="00930807"/>
    <w:rsid w:val="0094202F"/>
    <w:rsid w:val="00953429"/>
    <w:rsid w:val="0096414F"/>
    <w:rsid w:val="009A20BA"/>
    <w:rsid w:val="009A3DCA"/>
    <w:rsid w:val="009D559D"/>
    <w:rsid w:val="009F3A0C"/>
    <w:rsid w:val="00A130F8"/>
    <w:rsid w:val="00A20C08"/>
    <w:rsid w:val="00A47839"/>
    <w:rsid w:val="00A63D87"/>
    <w:rsid w:val="00A67318"/>
    <w:rsid w:val="00AA1AB6"/>
    <w:rsid w:val="00AE5B86"/>
    <w:rsid w:val="00AE66BD"/>
    <w:rsid w:val="00B37D03"/>
    <w:rsid w:val="00B44FAD"/>
    <w:rsid w:val="00B507A3"/>
    <w:rsid w:val="00B64038"/>
    <w:rsid w:val="00BA1762"/>
    <w:rsid w:val="00BC39BA"/>
    <w:rsid w:val="00BC799E"/>
    <w:rsid w:val="00BD1AAE"/>
    <w:rsid w:val="00BD565D"/>
    <w:rsid w:val="00BF0242"/>
    <w:rsid w:val="00BF0AFD"/>
    <w:rsid w:val="00C06E89"/>
    <w:rsid w:val="00C27E97"/>
    <w:rsid w:val="00CB55B6"/>
    <w:rsid w:val="00CD0C13"/>
    <w:rsid w:val="00CE7D6E"/>
    <w:rsid w:val="00D27AEB"/>
    <w:rsid w:val="00D337F4"/>
    <w:rsid w:val="00D44AFA"/>
    <w:rsid w:val="00DA0AD4"/>
    <w:rsid w:val="00DE2A49"/>
    <w:rsid w:val="00E56A09"/>
    <w:rsid w:val="00E60E73"/>
    <w:rsid w:val="00E9508F"/>
    <w:rsid w:val="00EC63E0"/>
    <w:rsid w:val="00EE3346"/>
    <w:rsid w:val="00F01516"/>
    <w:rsid w:val="00F21F25"/>
    <w:rsid w:val="00F24235"/>
    <w:rsid w:val="00F31355"/>
    <w:rsid w:val="00F62D15"/>
    <w:rsid w:val="00F718CF"/>
    <w:rsid w:val="00F80DDF"/>
    <w:rsid w:val="00F91C03"/>
    <w:rsid w:val="00FD2848"/>
    <w:rsid w:val="00FD577B"/>
    <w:rsid w:val="00FE1EEE"/>
    <w:rsid w:val="00FF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D8F7"/>
  <w15:chartTrackingRefBased/>
  <w15:docId w15:val="{6B607FD6-3807-458A-BEA2-D5830EDE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184"/>
    <w:rPr>
      <w:color w:val="0000FF"/>
      <w:u w:val="single"/>
    </w:rPr>
  </w:style>
  <w:style w:type="paragraph" w:styleId="ListParagraph">
    <w:name w:val="List Paragraph"/>
    <w:basedOn w:val="Normal"/>
    <w:uiPriority w:val="34"/>
    <w:qFormat/>
    <w:rsid w:val="004D5F3E"/>
    <w:pPr>
      <w:ind w:left="720"/>
      <w:contextualSpacing/>
    </w:pPr>
  </w:style>
  <w:style w:type="character" w:styleId="UnresolvedMention">
    <w:name w:val="Unresolved Mention"/>
    <w:basedOn w:val="DefaultParagraphFont"/>
    <w:uiPriority w:val="99"/>
    <w:semiHidden/>
    <w:unhideWhenUsed/>
    <w:rsid w:val="00C27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753170">
      <w:bodyDiv w:val="1"/>
      <w:marLeft w:val="0"/>
      <w:marRight w:val="0"/>
      <w:marTop w:val="0"/>
      <w:marBottom w:val="0"/>
      <w:divBdr>
        <w:top w:val="none" w:sz="0" w:space="0" w:color="auto"/>
        <w:left w:val="none" w:sz="0" w:space="0" w:color="auto"/>
        <w:bottom w:val="none" w:sz="0" w:space="0" w:color="auto"/>
        <w:right w:val="none" w:sz="0" w:space="0" w:color="auto"/>
      </w:divBdr>
    </w:div>
    <w:div w:id="2083213909">
      <w:bodyDiv w:val="1"/>
      <w:marLeft w:val="0"/>
      <w:marRight w:val="0"/>
      <w:marTop w:val="0"/>
      <w:marBottom w:val="0"/>
      <w:divBdr>
        <w:top w:val="none" w:sz="0" w:space="0" w:color="auto"/>
        <w:left w:val="none" w:sz="0" w:space="0" w:color="auto"/>
        <w:bottom w:val="none" w:sz="0" w:space="0" w:color="auto"/>
        <w:right w:val="none" w:sz="0" w:space="0" w:color="auto"/>
      </w:divBdr>
    </w:div>
    <w:div w:id="214102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nowsleyinfo.co.uk/content/hospital-and-home-tu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spitalandhometuitionservice@knowsley.gov.uk" TargetMode="External"/><Relationship Id="rId5" Type="http://schemas.openxmlformats.org/officeDocument/2006/relationships/hyperlink" Target="https://assets.publishing.service.gov.uk/media/5fcf58458fa8f54d59e8b6ed/health_needs_guidance_accessibl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6</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Paul</dc:creator>
  <cp:keywords/>
  <dc:description/>
  <cp:lastModifiedBy>Davenport, Paul</cp:lastModifiedBy>
  <cp:revision>141</cp:revision>
  <dcterms:created xsi:type="dcterms:W3CDTF">2023-10-04T11:52:00Z</dcterms:created>
  <dcterms:modified xsi:type="dcterms:W3CDTF">2024-06-14T11:22:00Z</dcterms:modified>
</cp:coreProperties>
</file>